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8927" w14:textId="77777777" w:rsidR="00A62AC2" w:rsidRDefault="00A62AC2" w:rsidP="00A62AC2">
      <w:pPr>
        <w:rPr>
          <w:b/>
          <w:bCs/>
          <w:u w:val="single"/>
        </w:rPr>
      </w:pPr>
    </w:p>
    <w:p w14:paraId="31724BE7" w14:textId="5495DD5F" w:rsidR="00A62AC2" w:rsidRDefault="00A62AC2" w:rsidP="00022EDC">
      <w:pPr>
        <w:jc w:val="center"/>
        <w:rPr>
          <w:b/>
          <w:bCs/>
          <w:u w:val="single"/>
        </w:rPr>
      </w:pPr>
      <w:r>
        <w:rPr>
          <w:noProof/>
        </w:rPr>
        <w:drawing>
          <wp:inline distT="0" distB="0" distL="0" distR="0" wp14:anchorId="779275E1" wp14:editId="1DA4C13C">
            <wp:extent cx="819150" cy="12573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257300"/>
                    </a:xfrm>
                    <a:prstGeom prst="rect">
                      <a:avLst/>
                    </a:prstGeom>
                    <a:noFill/>
                    <a:ln>
                      <a:noFill/>
                    </a:ln>
                  </pic:spPr>
                </pic:pic>
              </a:graphicData>
            </a:graphic>
          </wp:inline>
        </w:drawing>
      </w:r>
    </w:p>
    <w:p w14:paraId="42658316" w14:textId="51F55966" w:rsidR="00B10409" w:rsidRPr="000306D7" w:rsidRDefault="00DE75AF" w:rsidP="00546D3A">
      <w:pPr>
        <w:ind w:firstLine="720"/>
        <w:jc w:val="center"/>
        <w:rPr>
          <w:b/>
          <w:bCs/>
          <w:sz w:val="24"/>
          <w:szCs w:val="24"/>
          <w:u w:val="single"/>
        </w:rPr>
      </w:pPr>
      <w:r w:rsidRPr="000306D7">
        <w:rPr>
          <w:b/>
          <w:bCs/>
          <w:sz w:val="24"/>
          <w:szCs w:val="24"/>
          <w:u w:val="single"/>
        </w:rPr>
        <w:t xml:space="preserve">Precept calculations </w:t>
      </w:r>
      <w:r w:rsidR="00742FBE">
        <w:rPr>
          <w:b/>
          <w:bCs/>
          <w:sz w:val="24"/>
          <w:szCs w:val="24"/>
          <w:u w:val="single"/>
        </w:rPr>
        <w:t xml:space="preserve">and budget setting </w:t>
      </w:r>
      <w:r w:rsidRPr="000306D7">
        <w:rPr>
          <w:b/>
          <w:bCs/>
          <w:sz w:val="24"/>
          <w:szCs w:val="24"/>
          <w:u w:val="single"/>
        </w:rPr>
        <w:t xml:space="preserve">within Blaenavon </w:t>
      </w:r>
      <w:r w:rsidR="00DF5B96">
        <w:rPr>
          <w:b/>
          <w:bCs/>
          <w:sz w:val="24"/>
          <w:szCs w:val="24"/>
          <w:u w:val="single"/>
        </w:rPr>
        <w:t>incorporating Community Council Tax Base Figures</w:t>
      </w:r>
      <w:r w:rsidRPr="000306D7">
        <w:rPr>
          <w:b/>
          <w:bCs/>
          <w:sz w:val="24"/>
          <w:szCs w:val="24"/>
          <w:u w:val="single"/>
        </w:rPr>
        <w:t xml:space="preserve"> across Torfaen County Borough.</w:t>
      </w:r>
    </w:p>
    <w:p w14:paraId="604BE073" w14:textId="59EE78E9" w:rsidR="00A62AC2" w:rsidRDefault="00A62AC2"/>
    <w:p w14:paraId="39A08476" w14:textId="27219DF2" w:rsidR="000306D7" w:rsidRDefault="00552D51" w:rsidP="00A62AC2">
      <w:r>
        <w:t>C</w:t>
      </w:r>
      <w:r w:rsidR="00A62AC2" w:rsidRPr="00A62AC2">
        <w:t>ounty boroughs in Wales (also known as 'principal a</w:t>
      </w:r>
      <w:r>
        <w:t>uthorities</w:t>
      </w:r>
      <w:r w:rsidR="00A62AC2" w:rsidRPr="00A62AC2">
        <w:t>') are divided into community areas for which there may be an elected community</w:t>
      </w:r>
      <w:r w:rsidR="000306D7">
        <w:t xml:space="preserve"> or Town </w:t>
      </w:r>
      <w:r w:rsidR="00A62AC2" w:rsidRPr="00A62AC2">
        <w:t xml:space="preserve"> council. </w:t>
      </w:r>
    </w:p>
    <w:p w14:paraId="36DA6CAB" w14:textId="05D58873" w:rsidR="00A62AC2" w:rsidRPr="00A62AC2" w:rsidRDefault="00A62AC2" w:rsidP="00A62AC2">
      <w:r w:rsidRPr="00A62AC2">
        <w:t>A community council is a body corporate consisting of the chair</w:t>
      </w:r>
      <w:r w:rsidR="0099001D">
        <w:t xml:space="preserve"> / mayor</w:t>
      </w:r>
      <w:r w:rsidRPr="00A62AC2">
        <w:t xml:space="preserve"> and the community councillors. Community councillors are elected by the local government electors for the community and hold office for a term of </w:t>
      </w:r>
      <w:r w:rsidR="000306D7">
        <w:t>5</w:t>
      </w:r>
      <w:r w:rsidRPr="00A62AC2">
        <w:t xml:space="preserve"> years. The chair is elected annually by the council from among the councillors.</w:t>
      </w:r>
    </w:p>
    <w:p w14:paraId="24742A79" w14:textId="6E0EBB14" w:rsidR="002C702A" w:rsidRDefault="00A62AC2" w:rsidP="00A62AC2">
      <w:r w:rsidRPr="00A62AC2">
        <w:t>Community councils were established under the </w:t>
      </w:r>
      <w:hyperlink r:id="rId7" w:history="1">
        <w:r w:rsidRPr="00A62AC2">
          <w:rPr>
            <w:rStyle w:val="Hyperlink"/>
            <w:b/>
            <w:bCs/>
          </w:rPr>
          <w:t>Local Government Act 1972</w:t>
        </w:r>
      </w:hyperlink>
      <w:r w:rsidRPr="00A62AC2">
        <w:t xml:space="preserve"> (LGA 1972) and replaced the previous system of </w:t>
      </w:r>
      <w:r w:rsidR="00ED3B08">
        <w:t xml:space="preserve">urban district </w:t>
      </w:r>
      <w:r w:rsidRPr="00A62AC2">
        <w:t xml:space="preserve">councils. </w:t>
      </w:r>
    </w:p>
    <w:p w14:paraId="7487B61B" w14:textId="436C1526" w:rsidR="00A62AC2" w:rsidRPr="00A62AC2" w:rsidRDefault="00A62AC2" w:rsidP="00A62AC2">
      <w:r w:rsidRPr="00A62AC2">
        <w:t>The vast majority of the functions conferred on the Secretary of State under LGA 1972 are now, so far as exercisable in relation to Wales, conferred upon the Welsh Ministers. The provision in LGA 1972 relating to communities was amended significantly in relation to Wales by the </w:t>
      </w:r>
      <w:hyperlink r:id="rId8" w:history="1">
        <w:r w:rsidRPr="00A62AC2">
          <w:rPr>
            <w:rStyle w:val="Hyperlink"/>
            <w:b/>
            <w:bCs/>
          </w:rPr>
          <w:t>Local Government (Wales) Act 1994</w:t>
        </w:r>
      </w:hyperlink>
      <w:r w:rsidRPr="00A62AC2">
        <w:t> and the </w:t>
      </w:r>
      <w:hyperlink r:id="rId9" w:history="1">
        <w:r w:rsidRPr="00A62AC2">
          <w:rPr>
            <w:rStyle w:val="Hyperlink"/>
            <w:b/>
            <w:bCs/>
          </w:rPr>
          <w:t>Local Government (Wales) Measure 2011</w:t>
        </w:r>
      </w:hyperlink>
      <w:r w:rsidRPr="00A62AC2">
        <w:t>.</w:t>
      </w:r>
    </w:p>
    <w:p w14:paraId="15622FC9" w14:textId="77777777" w:rsidR="00A62AC2" w:rsidRPr="00A62AC2" w:rsidRDefault="00A62AC2" w:rsidP="00A62AC2">
      <w:r w:rsidRPr="00A62AC2">
        <w:t>Each community council takes the name of the community followed by the words 'Community Council' or, in Welsh, 'Cyngor Cymuned'. A community that is not grouped with another community may resolve to have the status of a town and may be known as a 'Town Council' or 'Cyngor Tref'.</w:t>
      </w:r>
    </w:p>
    <w:p w14:paraId="72CFDCCD" w14:textId="49DCF7AB" w:rsidR="00A62AC2" w:rsidRPr="00A62AC2" w:rsidRDefault="00A62AC2" w:rsidP="00A62AC2">
      <w:r w:rsidRPr="00A62AC2">
        <w:t>The functions of a community council are set out in LGA 1972 and in other legislation. Under the </w:t>
      </w:r>
      <w:hyperlink r:id="rId10" w:history="1">
        <w:r w:rsidRPr="00A62AC2">
          <w:rPr>
            <w:rStyle w:val="Hyperlink"/>
            <w:b/>
            <w:bCs/>
          </w:rPr>
          <w:t>Local Government Act 2000</w:t>
        </w:r>
      </w:hyperlink>
      <w:r w:rsidRPr="00A62AC2">
        <w:t xml:space="preserve"> (as amended by the Local Government (Wales) Measure 2011), community councils have power to do anything they consider is likely to achieve the promotion or improvement of the economic well-being, social </w:t>
      </w:r>
      <w:r w:rsidR="00742FBE" w:rsidRPr="00A62AC2">
        <w:t>well-being,</w:t>
      </w:r>
      <w:r w:rsidRPr="00A62AC2">
        <w:t xml:space="preserve"> or environmental well-being of their area.</w:t>
      </w:r>
    </w:p>
    <w:p w14:paraId="0A68A66D" w14:textId="77777777" w:rsidR="00742FBE" w:rsidRDefault="00A62AC2">
      <w:r w:rsidRPr="00A62AC2">
        <w:t>The main source of funding for community councils is the funds raised through what is referred to as a precept (a charge) to council tax under section 41 of the </w:t>
      </w:r>
      <w:hyperlink r:id="rId11" w:history="1">
        <w:r w:rsidRPr="00A62AC2">
          <w:rPr>
            <w:rStyle w:val="Hyperlink"/>
            <w:b/>
            <w:bCs/>
          </w:rPr>
          <w:t>Local Government Finance Act 1992</w:t>
        </w:r>
      </w:hyperlink>
      <w:r w:rsidRPr="00A62AC2">
        <w:t>. </w:t>
      </w:r>
    </w:p>
    <w:p w14:paraId="75EFE098" w14:textId="77777777" w:rsidR="008270D5" w:rsidRDefault="00A62AC2">
      <w:r w:rsidRPr="00A62AC2">
        <w:t xml:space="preserve">A community council must calculate its budget requirement for a financial year in accordance with section 50 of that Act and issue a precept to the billing authority. </w:t>
      </w:r>
    </w:p>
    <w:p w14:paraId="3D88E6EA" w14:textId="2C8B4823" w:rsidR="00DE75AF" w:rsidRDefault="00A62AC2">
      <w:r w:rsidRPr="00A62AC2">
        <w:t xml:space="preserve">A community council’s expenses are paid out of the funds received by the precept. In </w:t>
      </w:r>
      <w:r w:rsidR="008270D5" w:rsidRPr="00A62AC2">
        <w:t>addition,</w:t>
      </w:r>
      <w:r w:rsidRPr="00A62AC2">
        <w:t xml:space="preserve"> the Welsh Ministers may, under section 129 of the Local Government (Wales) Measure 2011, pay a grant to community councils towards expenditure incurred or to be incurred by it.</w:t>
      </w:r>
    </w:p>
    <w:p w14:paraId="34B5F8FC" w14:textId="3DBDC427" w:rsidR="00DE75AF" w:rsidRPr="00DE75AF" w:rsidRDefault="00DE75AF" w:rsidP="00DE75AF">
      <w:r w:rsidRPr="00DE75AF">
        <w:lastRenderedPageBreak/>
        <w:t xml:space="preserve">In order to support the </w:t>
      </w:r>
      <w:r w:rsidR="00784227">
        <w:t>budget setting process</w:t>
      </w:r>
      <w:r w:rsidRPr="00DE75AF">
        <w:t>, an understanding of precept calculations is necessary. This will underpin and offer a wide range of considerations and options to support the Council’s decision making in terms of setting the</w:t>
      </w:r>
      <w:r w:rsidR="008270D5">
        <w:t xml:space="preserve"> </w:t>
      </w:r>
      <w:r w:rsidRPr="00DE75AF">
        <w:t>precept.</w:t>
      </w:r>
    </w:p>
    <w:p w14:paraId="5639ABDB" w14:textId="3D3A669A" w:rsidR="00375611" w:rsidRDefault="00DE75AF" w:rsidP="00DE75AF">
      <w:r w:rsidRPr="00DE75AF">
        <w:t xml:space="preserve">This sum is collected on behalf of the Town Council by </w:t>
      </w:r>
      <w:r w:rsidR="002C702A">
        <w:t>Torfaen County Borough Council (</w:t>
      </w:r>
      <w:r w:rsidRPr="00DE75AF">
        <w:t xml:space="preserve">TCBC </w:t>
      </w:r>
      <w:r w:rsidR="002C702A">
        <w:t xml:space="preserve">) </w:t>
      </w:r>
      <w:r w:rsidRPr="00DE75AF">
        <w:t xml:space="preserve">as part of the Council Tax Bill. </w:t>
      </w:r>
    </w:p>
    <w:p w14:paraId="2F3E1A51" w14:textId="00A5083D" w:rsidR="00DE75AF" w:rsidRPr="00DE75AF" w:rsidRDefault="00DE75AF" w:rsidP="00DE75AF">
      <w:r w:rsidRPr="00DE75AF">
        <w:t xml:space="preserve">This figure is based on the charge for a </w:t>
      </w:r>
      <w:r w:rsidRPr="00DE75AF">
        <w:rPr>
          <w:b/>
        </w:rPr>
        <w:t>Band ‘D’</w:t>
      </w:r>
      <w:r w:rsidRPr="00DE75AF">
        <w:t xml:space="preserve"> dwelling and is in addition to the TCBC Council Tax payment.</w:t>
      </w:r>
    </w:p>
    <w:p w14:paraId="3AA9844E" w14:textId="77777777" w:rsidR="00D25AF0" w:rsidRDefault="00DE75AF" w:rsidP="00DE75AF">
      <w:r w:rsidRPr="00DE75AF">
        <w:t xml:space="preserve">This charge is shown on the Council Tax Bill as </w:t>
      </w:r>
      <w:r w:rsidRPr="00DE75AF">
        <w:rPr>
          <w:b/>
        </w:rPr>
        <w:t>Blaenavon Community Council.</w:t>
      </w:r>
      <w:r w:rsidRPr="00DE75AF">
        <w:t xml:space="preserve"> </w:t>
      </w:r>
    </w:p>
    <w:p w14:paraId="7C846093" w14:textId="3F019478" w:rsidR="00DE75AF" w:rsidRPr="00D25AF0" w:rsidRDefault="00DE75AF" w:rsidP="00DE75AF">
      <w:pPr>
        <w:rPr>
          <w:bCs/>
        </w:rPr>
      </w:pPr>
      <w:r w:rsidRPr="00DE75AF">
        <w:t xml:space="preserve">The figure shown is an annual charge. As an example, the charge for a </w:t>
      </w:r>
      <w:r w:rsidRPr="00DE75AF">
        <w:rPr>
          <w:b/>
        </w:rPr>
        <w:t xml:space="preserve">Band ‘D’ </w:t>
      </w:r>
      <w:r w:rsidRPr="00DE75AF">
        <w:t xml:space="preserve">dwelling currently is </w:t>
      </w:r>
      <w:r w:rsidRPr="00DE75AF">
        <w:rPr>
          <w:b/>
        </w:rPr>
        <w:t>£</w:t>
      </w:r>
      <w:r w:rsidR="00BB0192">
        <w:rPr>
          <w:b/>
        </w:rPr>
        <w:t>94</w:t>
      </w:r>
      <w:r w:rsidRPr="00DE75AF">
        <w:rPr>
          <w:b/>
        </w:rPr>
        <w:t>.</w:t>
      </w:r>
      <w:r w:rsidR="00BB0192">
        <w:rPr>
          <w:b/>
        </w:rPr>
        <w:t>24</w:t>
      </w:r>
      <w:r w:rsidRPr="00DE75AF">
        <w:rPr>
          <w:bCs/>
        </w:rPr>
        <w:t>.</w:t>
      </w:r>
      <w:r w:rsidR="00E206DE" w:rsidRPr="00D25AF0">
        <w:rPr>
          <w:bCs/>
        </w:rPr>
        <w:t xml:space="preserve"> It should be noted that the precept within Blaenavon has not been increased by the Town Council </w:t>
      </w:r>
      <w:r w:rsidR="00D25AF0" w:rsidRPr="00D25AF0">
        <w:rPr>
          <w:bCs/>
        </w:rPr>
        <w:t>for the past three years.</w:t>
      </w:r>
    </w:p>
    <w:p w14:paraId="7DE96186" w14:textId="3CA3A655" w:rsidR="00014E90" w:rsidRDefault="009A70B0" w:rsidP="00DE75AF">
      <w:pPr>
        <w:rPr>
          <w:bCs/>
        </w:rPr>
      </w:pPr>
      <w:r>
        <w:rPr>
          <w:bCs/>
        </w:rPr>
        <w:t xml:space="preserve">There are six community councils that sit within the Torfaen County Borough. Each community council receives </w:t>
      </w:r>
      <w:r w:rsidR="002C702A">
        <w:rPr>
          <w:bCs/>
        </w:rPr>
        <w:t>an annual council tax base figure from TCBC</w:t>
      </w:r>
      <w:r w:rsidR="00F43AFB">
        <w:rPr>
          <w:bCs/>
        </w:rPr>
        <w:t xml:space="preserve"> which has been formally approved for their budget setting process</w:t>
      </w:r>
      <w:r w:rsidR="00014E90">
        <w:rPr>
          <w:bCs/>
        </w:rPr>
        <w:t xml:space="preserve">. The figure forwarded to Blaenavon Town Council for 2022/23 is </w:t>
      </w:r>
      <w:r w:rsidR="00014E90" w:rsidRPr="00014E90">
        <w:rPr>
          <w:b/>
        </w:rPr>
        <w:t>1,963.</w:t>
      </w:r>
    </w:p>
    <w:p w14:paraId="7AEBCF50" w14:textId="09BF89E7" w:rsidR="00BB0192" w:rsidRDefault="00F43AFB" w:rsidP="00DE75AF">
      <w:pPr>
        <w:rPr>
          <w:bCs/>
        </w:rPr>
      </w:pPr>
      <w:r>
        <w:rPr>
          <w:bCs/>
        </w:rPr>
        <w:t>This figure is then used to cal</w:t>
      </w:r>
      <w:r w:rsidR="00014E90">
        <w:rPr>
          <w:bCs/>
        </w:rPr>
        <w:t xml:space="preserve">culate a </w:t>
      </w:r>
      <w:r w:rsidR="00014E90" w:rsidRPr="00014E90">
        <w:rPr>
          <w:b/>
        </w:rPr>
        <w:t>Band ‘D’</w:t>
      </w:r>
      <w:r w:rsidR="00014E90">
        <w:rPr>
          <w:bCs/>
        </w:rPr>
        <w:t xml:space="preserve"> council tax charge based on an approved precept within each Town or Community Council.</w:t>
      </w:r>
    </w:p>
    <w:p w14:paraId="141A2396" w14:textId="14456D78" w:rsidR="00014E90" w:rsidRDefault="00014E90" w:rsidP="00DE75AF">
      <w:pPr>
        <w:rPr>
          <w:bCs/>
        </w:rPr>
      </w:pPr>
      <w:r>
        <w:rPr>
          <w:bCs/>
        </w:rPr>
        <w:t>In relation to Blaenavon</w:t>
      </w:r>
      <w:r w:rsidR="00D25AF0">
        <w:rPr>
          <w:bCs/>
        </w:rPr>
        <w:t>,</w:t>
      </w:r>
      <w:r>
        <w:rPr>
          <w:bCs/>
        </w:rPr>
        <w:t xml:space="preserve"> the calculation is as follows;-</w:t>
      </w:r>
    </w:p>
    <w:p w14:paraId="2403CF37" w14:textId="77777777" w:rsidR="00B461D8" w:rsidRPr="00B461D8" w:rsidRDefault="00B461D8" w:rsidP="00B461D8">
      <w:pPr>
        <w:rPr>
          <w:b/>
          <w:bCs/>
        </w:rPr>
      </w:pPr>
      <w:r w:rsidRPr="00B461D8">
        <w:rPr>
          <w:bCs/>
        </w:rPr>
        <w:t xml:space="preserve">Precept / Tax base = </w:t>
      </w:r>
      <w:r w:rsidRPr="00B461D8">
        <w:rPr>
          <w:b/>
          <w:bCs/>
        </w:rPr>
        <w:t>£185,000 / 1963 = £94.24 per year</w:t>
      </w:r>
    </w:p>
    <w:p w14:paraId="42762A33" w14:textId="77777777" w:rsidR="006858C5" w:rsidRDefault="00B461D8" w:rsidP="00DE75AF">
      <w:pPr>
        <w:rPr>
          <w:bCs/>
        </w:rPr>
      </w:pPr>
      <w:r>
        <w:rPr>
          <w:bCs/>
        </w:rPr>
        <w:t>As alluded to above</w:t>
      </w:r>
      <w:r w:rsidR="00ED3B08">
        <w:rPr>
          <w:bCs/>
        </w:rPr>
        <w:t>,</w:t>
      </w:r>
      <w:r>
        <w:rPr>
          <w:bCs/>
        </w:rPr>
        <w:t xml:space="preserve"> the </w:t>
      </w:r>
      <w:r w:rsidR="00ED3B08">
        <w:rPr>
          <w:bCs/>
        </w:rPr>
        <w:t>council tax base figure is very different for each community council</w:t>
      </w:r>
      <w:r w:rsidR="006858C5">
        <w:rPr>
          <w:bCs/>
        </w:rPr>
        <w:t>.</w:t>
      </w:r>
    </w:p>
    <w:p w14:paraId="5F4BF15E" w14:textId="61AE521A" w:rsidR="00273FFA" w:rsidRDefault="006858C5" w:rsidP="00DE75AF">
      <w:pPr>
        <w:rPr>
          <w:bCs/>
        </w:rPr>
      </w:pPr>
      <w:r w:rsidRPr="006858C5">
        <w:rPr>
          <w:bCs/>
        </w:rPr>
        <w:t xml:space="preserve">Below is the </w:t>
      </w:r>
      <w:r w:rsidRPr="006858C5">
        <w:rPr>
          <w:b/>
        </w:rPr>
        <w:t>B</w:t>
      </w:r>
      <w:r w:rsidRPr="006858C5">
        <w:rPr>
          <w:b/>
        </w:rPr>
        <w:t xml:space="preserve">and </w:t>
      </w:r>
      <w:r w:rsidRPr="006858C5">
        <w:rPr>
          <w:b/>
        </w:rPr>
        <w:t>‘</w:t>
      </w:r>
      <w:r w:rsidRPr="006858C5">
        <w:rPr>
          <w:b/>
        </w:rPr>
        <w:t>D</w:t>
      </w:r>
      <w:r w:rsidRPr="006858C5">
        <w:rPr>
          <w:b/>
        </w:rPr>
        <w:t>’</w:t>
      </w:r>
      <w:r w:rsidRPr="006858C5">
        <w:rPr>
          <w:bCs/>
        </w:rPr>
        <w:t xml:space="preserve"> equivalent for all Community Councils in TCB</w:t>
      </w:r>
      <w:r>
        <w:rPr>
          <w:bCs/>
        </w:rPr>
        <w:t>C</w:t>
      </w:r>
    </w:p>
    <w:p w14:paraId="01027075" w14:textId="77777777" w:rsidR="00273FFA" w:rsidRDefault="00273FFA" w:rsidP="00DE75AF">
      <w:pPr>
        <w:rPr>
          <w:bCs/>
        </w:rPr>
      </w:pPr>
    </w:p>
    <w:tbl>
      <w:tblPr>
        <w:tblW w:w="0" w:type="auto"/>
        <w:tblInd w:w="55" w:type="dxa"/>
        <w:shd w:val="clear" w:color="auto" w:fill="FFFFFF"/>
        <w:tblCellMar>
          <w:left w:w="0" w:type="dxa"/>
          <w:right w:w="0" w:type="dxa"/>
        </w:tblCellMar>
        <w:tblLook w:val="04A0" w:firstRow="1" w:lastRow="0" w:firstColumn="1" w:lastColumn="0" w:noHBand="0" w:noVBand="1"/>
      </w:tblPr>
      <w:tblGrid>
        <w:gridCol w:w="5525"/>
        <w:gridCol w:w="2696"/>
      </w:tblGrid>
      <w:tr w:rsidR="00273FFA" w:rsidRPr="00273FFA" w14:paraId="00CDEF42" w14:textId="77777777" w:rsidTr="00273FFA">
        <w:trPr>
          <w:trHeight w:val="142"/>
        </w:trPr>
        <w:tc>
          <w:tcPr>
            <w:tcW w:w="55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A3636F" w14:textId="26A55180" w:rsidR="00273FFA" w:rsidRPr="00273FFA" w:rsidRDefault="00273FFA" w:rsidP="00273FFA">
            <w:pPr>
              <w:rPr>
                <w:b/>
              </w:rPr>
            </w:pPr>
            <w:r w:rsidRPr="00273FFA">
              <w:rPr>
                <w:b/>
              </w:rPr>
              <w:t> </w:t>
            </w:r>
            <w:r w:rsidRPr="00273FFA">
              <w:rPr>
                <w:b/>
              </w:rPr>
              <w:t>Town / Community Council</w:t>
            </w:r>
          </w:p>
        </w:tc>
        <w:tc>
          <w:tcPr>
            <w:tcW w:w="26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2A5A0F" w14:textId="77777777" w:rsidR="00273FFA" w:rsidRPr="00273FFA" w:rsidRDefault="00273FFA" w:rsidP="00273FFA">
            <w:pPr>
              <w:rPr>
                <w:b/>
              </w:rPr>
            </w:pPr>
            <w:r w:rsidRPr="00273FFA">
              <w:rPr>
                <w:b/>
              </w:rPr>
              <w:t>Council Tax Base</w:t>
            </w:r>
          </w:p>
        </w:tc>
      </w:tr>
      <w:tr w:rsidR="00273FFA" w:rsidRPr="00273FFA" w14:paraId="445EDACE" w14:textId="77777777" w:rsidTr="00273FFA">
        <w:trPr>
          <w:trHeight w:val="142"/>
        </w:trPr>
        <w:tc>
          <w:tcPr>
            <w:tcW w:w="5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60698D" w14:textId="77777777" w:rsidR="00273FFA" w:rsidRPr="00273FFA" w:rsidRDefault="00273FFA" w:rsidP="00273FFA">
            <w:pPr>
              <w:rPr>
                <w:b/>
              </w:rPr>
            </w:pPr>
            <w:r w:rsidRPr="00273FFA">
              <w:rPr>
                <w:b/>
              </w:rPr>
              <w:t>Cwmbran</w:t>
            </w:r>
          </w:p>
        </w:tc>
        <w:tc>
          <w:tcPr>
            <w:tcW w:w="2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BE375E" w14:textId="77777777" w:rsidR="00273FFA" w:rsidRPr="00273FFA" w:rsidRDefault="00273FFA" w:rsidP="00273FFA">
            <w:pPr>
              <w:rPr>
                <w:b/>
              </w:rPr>
            </w:pPr>
            <w:r w:rsidRPr="00273FFA">
              <w:rPr>
                <w:b/>
              </w:rPr>
              <w:t>13,634</w:t>
            </w:r>
          </w:p>
        </w:tc>
      </w:tr>
      <w:tr w:rsidR="00273FFA" w:rsidRPr="00273FFA" w14:paraId="15C0CEBF" w14:textId="77777777" w:rsidTr="00273FFA">
        <w:trPr>
          <w:trHeight w:val="142"/>
        </w:trPr>
        <w:tc>
          <w:tcPr>
            <w:tcW w:w="5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FCD985" w14:textId="77777777" w:rsidR="00273FFA" w:rsidRPr="00273FFA" w:rsidRDefault="00273FFA" w:rsidP="00273FFA">
            <w:pPr>
              <w:rPr>
                <w:b/>
              </w:rPr>
            </w:pPr>
            <w:r w:rsidRPr="00273FFA">
              <w:rPr>
                <w:b/>
              </w:rPr>
              <w:t>Pontypool</w:t>
            </w:r>
          </w:p>
        </w:tc>
        <w:tc>
          <w:tcPr>
            <w:tcW w:w="2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317E22" w14:textId="77777777" w:rsidR="00273FFA" w:rsidRPr="00273FFA" w:rsidRDefault="00273FFA" w:rsidP="00273FFA">
            <w:pPr>
              <w:rPr>
                <w:b/>
              </w:rPr>
            </w:pPr>
            <w:r w:rsidRPr="00273FFA">
              <w:rPr>
                <w:b/>
              </w:rPr>
              <w:t>13,178</w:t>
            </w:r>
          </w:p>
        </w:tc>
      </w:tr>
      <w:tr w:rsidR="00273FFA" w:rsidRPr="00273FFA" w14:paraId="4FF46997" w14:textId="77777777" w:rsidTr="00273FFA">
        <w:trPr>
          <w:trHeight w:val="142"/>
        </w:trPr>
        <w:tc>
          <w:tcPr>
            <w:tcW w:w="5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C83A8C" w14:textId="77777777" w:rsidR="00273FFA" w:rsidRPr="00273FFA" w:rsidRDefault="00273FFA" w:rsidP="00273FFA">
            <w:pPr>
              <w:rPr>
                <w:b/>
              </w:rPr>
            </w:pPr>
            <w:r w:rsidRPr="00273FFA">
              <w:rPr>
                <w:b/>
              </w:rPr>
              <w:t>Blaenavon</w:t>
            </w:r>
          </w:p>
        </w:tc>
        <w:tc>
          <w:tcPr>
            <w:tcW w:w="2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AD970" w14:textId="77777777" w:rsidR="00273FFA" w:rsidRPr="00273FFA" w:rsidRDefault="00273FFA" w:rsidP="00273FFA">
            <w:pPr>
              <w:rPr>
                <w:b/>
              </w:rPr>
            </w:pPr>
            <w:r w:rsidRPr="00273FFA">
              <w:rPr>
                <w:b/>
              </w:rPr>
              <w:t>1,963</w:t>
            </w:r>
          </w:p>
        </w:tc>
      </w:tr>
      <w:tr w:rsidR="00273FFA" w:rsidRPr="00273FFA" w14:paraId="5627C399" w14:textId="77777777" w:rsidTr="00273FFA">
        <w:trPr>
          <w:trHeight w:val="142"/>
        </w:trPr>
        <w:tc>
          <w:tcPr>
            <w:tcW w:w="5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9FC4" w14:textId="77777777" w:rsidR="00273FFA" w:rsidRPr="00273FFA" w:rsidRDefault="00273FFA" w:rsidP="00273FFA">
            <w:pPr>
              <w:rPr>
                <w:b/>
              </w:rPr>
            </w:pPr>
            <w:r w:rsidRPr="00273FFA">
              <w:rPr>
                <w:b/>
              </w:rPr>
              <w:t>Henllys</w:t>
            </w:r>
          </w:p>
        </w:tc>
        <w:tc>
          <w:tcPr>
            <w:tcW w:w="2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52135" w14:textId="77777777" w:rsidR="00273FFA" w:rsidRPr="00273FFA" w:rsidRDefault="00273FFA" w:rsidP="00273FFA">
            <w:pPr>
              <w:rPr>
                <w:b/>
              </w:rPr>
            </w:pPr>
            <w:r w:rsidRPr="00273FFA">
              <w:rPr>
                <w:b/>
              </w:rPr>
              <w:t>1,149</w:t>
            </w:r>
          </w:p>
        </w:tc>
      </w:tr>
      <w:tr w:rsidR="00273FFA" w:rsidRPr="00273FFA" w14:paraId="5F2C17E7" w14:textId="77777777" w:rsidTr="00273FFA">
        <w:trPr>
          <w:trHeight w:val="142"/>
        </w:trPr>
        <w:tc>
          <w:tcPr>
            <w:tcW w:w="5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879A26" w14:textId="77777777" w:rsidR="00273FFA" w:rsidRPr="00273FFA" w:rsidRDefault="00273FFA" w:rsidP="00273FFA">
            <w:pPr>
              <w:rPr>
                <w:b/>
              </w:rPr>
            </w:pPr>
            <w:r w:rsidRPr="00273FFA">
              <w:rPr>
                <w:b/>
              </w:rPr>
              <w:t>Croesyceiliog &amp; Llanyrafon</w:t>
            </w:r>
          </w:p>
        </w:tc>
        <w:tc>
          <w:tcPr>
            <w:tcW w:w="2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18E47" w14:textId="77777777" w:rsidR="00273FFA" w:rsidRPr="00273FFA" w:rsidRDefault="00273FFA" w:rsidP="00273FFA">
            <w:pPr>
              <w:rPr>
                <w:b/>
              </w:rPr>
            </w:pPr>
            <w:r w:rsidRPr="00273FFA">
              <w:rPr>
                <w:b/>
              </w:rPr>
              <w:t>3,480</w:t>
            </w:r>
          </w:p>
        </w:tc>
      </w:tr>
      <w:tr w:rsidR="00273FFA" w:rsidRPr="00273FFA" w14:paraId="23E40953" w14:textId="77777777" w:rsidTr="00273FFA">
        <w:trPr>
          <w:trHeight w:val="142"/>
        </w:trPr>
        <w:tc>
          <w:tcPr>
            <w:tcW w:w="55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9DD827" w14:textId="77777777" w:rsidR="00273FFA" w:rsidRPr="00273FFA" w:rsidRDefault="00273FFA" w:rsidP="00273FFA">
            <w:pPr>
              <w:rPr>
                <w:b/>
              </w:rPr>
            </w:pPr>
            <w:r w:rsidRPr="00273FFA">
              <w:rPr>
                <w:b/>
              </w:rPr>
              <w:t>Ponthir</w:t>
            </w:r>
          </w:p>
        </w:tc>
        <w:tc>
          <w:tcPr>
            <w:tcW w:w="2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7A24D5" w14:textId="77777777" w:rsidR="00273FFA" w:rsidRPr="00273FFA" w:rsidRDefault="00273FFA" w:rsidP="00273FFA">
            <w:pPr>
              <w:rPr>
                <w:b/>
              </w:rPr>
            </w:pPr>
            <w:r w:rsidRPr="00273FFA">
              <w:rPr>
                <w:b/>
              </w:rPr>
              <w:t>743</w:t>
            </w:r>
          </w:p>
        </w:tc>
      </w:tr>
    </w:tbl>
    <w:p w14:paraId="0B72757B" w14:textId="77777777" w:rsidR="00ED3B08" w:rsidRPr="00DE75AF" w:rsidRDefault="00ED3B08" w:rsidP="00DE75AF">
      <w:pPr>
        <w:rPr>
          <w:bCs/>
        </w:rPr>
      </w:pPr>
    </w:p>
    <w:p w14:paraId="16005E78" w14:textId="42304E0C" w:rsidR="00DE75AF" w:rsidRDefault="00273FFA">
      <w:r>
        <w:t xml:space="preserve">Subsequently, this will be reflected in the calculation of the council tax charge for a </w:t>
      </w:r>
      <w:r w:rsidRPr="006858C5">
        <w:rPr>
          <w:b/>
          <w:bCs/>
        </w:rPr>
        <w:t>Band ‘D’</w:t>
      </w:r>
      <w:r>
        <w:t xml:space="preserve"> property</w:t>
      </w:r>
      <w:r w:rsidR="006858C5">
        <w:t>. As a comparator</w:t>
      </w:r>
      <w:r w:rsidR="006823C8">
        <w:t xml:space="preserve">, the equivalent </w:t>
      </w:r>
      <w:r w:rsidR="006823C8" w:rsidRPr="006823C8">
        <w:rPr>
          <w:b/>
          <w:bCs/>
        </w:rPr>
        <w:t>Band ‘D’</w:t>
      </w:r>
      <w:r w:rsidR="006823C8">
        <w:t xml:space="preserve"> calculations for the following community councils are as follows;-</w:t>
      </w:r>
    </w:p>
    <w:p w14:paraId="522EF920" w14:textId="1E28F0D1" w:rsidR="006823C8" w:rsidRDefault="006823C8">
      <w:r w:rsidRPr="00360BE7">
        <w:rPr>
          <w:color w:val="FF0000"/>
          <w:u w:val="single"/>
        </w:rPr>
        <w:t xml:space="preserve">Cwmbran Community Council – Precept 2021/22 = </w:t>
      </w:r>
      <w:r w:rsidRPr="00360BE7">
        <w:rPr>
          <w:b/>
          <w:bCs/>
          <w:color w:val="FF0000"/>
          <w:u w:val="single"/>
        </w:rPr>
        <w:t>£650,905</w:t>
      </w:r>
      <w:r w:rsidRPr="00190427">
        <w:rPr>
          <w:b/>
          <w:bCs/>
        </w:rPr>
        <w:t>.</w:t>
      </w:r>
    </w:p>
    <w:p w14:paraId="2641D310" w14:textId="468552DC" w:rsidR="00190427" w:rsidRPr="00D25AF0" w:rsidRDefault="006823C8" w:rsidP="00190427">
      <w:pPr>
        <w:rPr>
          <w:b/>
          <w:bCs/>
        </w:rPr>
      </w:pPr>
      <w:r w:rsidRPr="006823C8">
        <w:rPr>
          <w:bCs/>
        </w:rPr>
        <w:t xml:space="preserve">Precept / Tax base = </w:t>
      </w:r>
      <w:r w:rsidRPr="006823C8">
        <w:rPr>
          <w:b/>
          <w:bCs/>
        </w:rPr>
        <w:t>£</w:t>
      </w:r>
      <w:r>
        <w:rPr>
          <w:b/>
          <w:bCs/>
        </w:rPr>
        <w:t>650,905</w:t>
      </w:r>
      <w:r w:rsidRPr="006823C8">
        <w:rPr>
          <w:b/>
          <w:bCs/>
        </w:rPr>
        <w:t xml:space="preserve"> / </w:t>
      </w:r>
      <w:r>
        <w:rPr>
          <w:b/>
          <w:bCs/>
        </w:rPr>
        <w:t>13,634</w:t>
      </w:r>
      <w:r w:rsidRPr="006823C8">
        <w:rPr>
          <w:b/>
          <w:bCs/>
        </w:rPr>
        <w:t xml:space="preserve"> = £</w:t>
      </w:r>
      <w:r w:rsidR="00190427">
        <w:rPr>
          <w:b/>
          <w:bCs/>
        </w:rPr>
        <w:t>47</w:t>
      </w:r>
      <w:r w:rsidRPr="006823C8">
        <w:rPr>
          <w:b/>
          <w:bCs/>
        </w:rPr>
        <w:t>.</w:t>
      </w:r>
      <w:r w:rsidR="00190427">
        <w:rPr>
          <w:b/>
          <w:bCs/>
        </w:rPr>
        <w:t>7</w:t>
      </w:r>
      <w:r w:rsidRPr="006823C8">
        <w:rPr>
          <w:b/>
          <w:bCs/>
        </w:rPr>
        <w:t>4 per year</w:t>
      </w:r>
      <w:r w:rsidR="00190427">
        <w:rPr>
          <w:b/>
          <w:bCs/>
        </w:rPr>
        <w:t>.</w:t>
      </w:r>
    </w:p>
    <w:p w14:paraId="5AE8A2DC" w14:textId="1D35EE9C" w:rsidR="00190427" w:rsidRPr="00190427" w:rsidRDefault="00190427" w:rsidP="00190427">
      <w:pPr>
        <w:rPr>
          <w:b/>
          <w:bCs/>
          <w:color w:val="FF0000"/>
          <w:u w:val="single"/>
        </w:rPr>
      </w:pPr>
      <w:r w:rsidRPr="00360BE7">
        <w:rPr>
          <w:color w:val="FF0000"/>
          <w:u w:val="single"/>
        </w:rPr>
        <w:lastRenderedPageBreak/>
        <w:t xml:space="preserve">Pontypool </w:t>
      </w:r>
      <w:r w:rsidRPr="00190427">
        <w:rPr>
          <w:color w:val="FF0000"/>
          <w:u w:val="single"/>
        </w:rPr>
        <w:t>Community Council – Precept 2021/22 =</w:t>
      </w:r>
      <w:r w:rsidRPr="00190427">
        <w:rPr>
          <w:b/>
          <w:bCs/>
          <w:color w:val="FF0000"/>
          <w:u w:val="single"/>
        </w:rPr>
        <w:t xml:space="preserve"> £</w:t>
      </w:r>
      <w:r w:rsidRPr="00360BE7">
        <w:rPr>
          <w:b/>
          <w:bCs/>
          <w:color w:val="FF0000"/>
          <w:u w:val="single"/>
        </w:rPr>
        <w:t>702,452</w:t>
      </w:r>
    </w:p>
    <w:p w14:paraId="6F13A58E" w14:textId="4A156459" w:rsidR="00190427" w:rsidRPr="006823C8" w:rsidRDefault="00190427" w:rsidP="006823C8">
      <w:pPr>
        <w:rPr>
          <w:b/>
          <w:bCs/>
        </w:rPr>
      </w:pPr>
      <w:r w:rsidRPr="006823C8">
        <w:t>Precept / Tax base =</w:t>
      </w:r>
      <w:r w:rsidRPr="006823C8">
        <w:rPr>
          <w:b/>
          <w:bCs/>
        </w:rPr>
        <w:t xml:space="preserve"> £</w:t>
      </w:r>
      <w:r>
        <w:rPr>
          <w:b/>
          <w:bCs/>
        </w:rPr>
        <w:t>702,452</w:t>
      </w:r>
      <w:r w:rsidRPr="006823C8">
        <w:rPr>
          <w:b/>
          <w:bCs/>
        </w:rPr>
        <w:t xml:space="preserve"> / </w:t>
      </w:r>
      <w:r w:rsidRPr="00190427">
        <w:rPr>
          <w:b/>
          <w:bCs/>
        </w:rPr>
        <w:t>13,</w:t>
      </w:r>
      <w:r w:rsidR="00E206DE">
        <w:rPr>
          <w:b/>
          <w:bCs/>
        </w:rPr>
        <w:t>178</w:t>
      </w:r>
      <w:r w:rsidRPr="006823C8">
        <w:rPr>
          <w:b/>
          <w:bCs/>
        </w:rPr>
        <w:t xml:space="preserve"> = £</w:t>
      </w:r>
      <w:r w:rsidR="00E206DE">
        <w:rPr>
          <w:b/>
          <w:bCs/>
        </w:rPr>
        <w:t>53</w:t>
      </w:r>
      <w:r w:rsidRPr="006823C8">
        <w:rPr>
          <w:b/>
          <w:bCs/>
        </w:rPr>
        <w:t>.</w:t>
      </w:r>
      <w:r w:rsidR="00E206DE">
        <w:rPr>
          <w:b/>
          <w:bCs/>
        </w:rPr>
        <w:t>30</w:t>
      </w:r>
      <w:r w:rsidRPr="006823C8">
        <w:rPr>
          <w:b/>
          <w:bCs/>
        </w:rPr>
        <w:t xml:space="preserve"> per year</w:t>
      </w:r>
    </w:p>
    <w:p w14:paraId="23AB5745" w14:textId="551A4B53" w:rsidR="006823C8" w:rsidRDefault="00E206DE">
      <w:r>
        <w:t>If the precept within Blaenavon remained at</w:t>
      </w:r>
      <w:r w:rsidR="00D25AF0">
        <w:t xml:space="preserve"> its previous figure of </w:t>
      </w:r>
      <w:r w:rsidR="00D25AF0" w:rsidRPr="001944F2">
        <w:rPr>
          <w:b/>
          <w:bCs/>
        </w:rPr>
        <w:t>£130,000</w:t>
      </w:r>
      <w:r w:rsidR="00D25AF0">
        <w:t xml:space="preserve"> the </w:t>
      </w:r>
      <w:r w:rsidR="00D25AF0" w:rsidRPr="00D25AF0">
        <w:rPr>
          <w:b/>
          <w:bCs/>
        </w:rPr>
        <w:t>Band ‘D’</w:t>
      </w:r>
      <w:r w:rsidR="00D25AF0">
        <w:t xml:space="preserve"> figure would be as follows:-</w:t>
      </w:r>
    </w:p>
    <w:p w14:paraId="102A0A43" w14:textId="606E52E5" w:rsidR="00D25AF0" w:rsidRPr="00D25AF0" w:rsidRDefault="00D25AF0" w:rsidP="00D25AF0">
      <w:pPr>
        <w:rPr>
          <w:b/>
          <w:bCs/>
        </w:rPr>
      </w:pPr>
      <w:r w:rsidRPr="00D25AF0">
        <w:t>Precept / Tax base =</w:t>
      </w:r>
      <w:r w:rsidRPr="00D25AF0">
        <w:rPr>
          <w:b/>
          <w:bCs/>
        </w:rPr>
        <w:t xml:space="preserve"> £</w:t>
      </w:r>
      <w:r>
        <w:rPr>
          <w:b/>
          <w:bCs/>
        </w:rPr>
        <w:t>130,000</w:t>
      </w:r>
      <w:r w:rsidRPr="00D25AF0">
        <w:rPr>
          <w:b/>
          <w:bCs/>
        </w:rPr>
        <w:t xml:space="preserve"> /</w:t>
      </w:r>
      <w:r>
        <w:rPr>
          <w:b/>
          <w:bCs/>
        </w:rPr>
        <w:t xml:space="preserve"> 1,963</w:t>
      </w:r>
      <w:r w:rsidRPr="00D25AF0">
        <w:rPr>
          <w:b/>
          <w:bCs/>
        </w:rPr>
        <w:t xml:space="preserve"> = £</w:t>
      </w:r>
      <w:r>
        <w:rPr>
          <w:b/>
          <w:bCs/>
        </w:rPr>
        <w:t>66.22</w:t>
      </w:r>
      <w:r w:rsidRPr="00D25AF0">
        <w:rPr>
          <w:b/>
          <w:bCs/>
        </w:rPr>
        <w:t xml:space="preserve"> per year</w:t>
      </w:r>
    </w:p>
    <w:p w14:paraId="6CC889AA" w14:textId="0BA31289" w:rsidR="00D25AF0" w:rsidRDefault="001944F2">
      <w:r>
        <w:t xml:space="preserve">It can be seen that the </w:t>
      </w:r>
      <w:r w:rsidRPr="001944F2">
        <w:rPr>
          <w:b/>
          <w:bCs/>
        </w:rPr>
        <w:t>Band ‘D’</w:t>
      </w:r>
      <w:r>
        <w:t xml:space="preserve"> figure of </w:t>
      </w:r>
      <w:r w:rsidRPr="00D25AF0">
        <w:rPr>
          <w:b/>
          <w:bCs/>
        </w:rPr>
        <w:t>£</w:t>
      </w:r>
      <w:r w:rsidRPr="001944F2">
        <w:rPr>
          <w:b/>
          <w:bCs/>
        </w:rPr>
        <w:t>66.22</w:t>
      </w:r>
      <w:r>
        <w:rPr>
          <w:b/>
          <w:bCs/>
        </w:rPr>
        <w:t xml:space="preserve"> </w:t>
      </w:r>
      <w:r w:rsidRPr="001944F2">
        <w:t>would still be higher tha</w:t>
      </w:r>
      <w:r w:rsidR="00506CCB">
        <w:t>n</w:t>
      </w:r>
      <w:r w:rsidRPr="001944F2">
        <w:t xml:space="preserve"> both </w:t>
      </w:r>
      <w:r w:rsidRPr="001944F2">
        <w:rPr>
          <w:b/>
          <w:bCs/>
        </w:rPr>
        <w:t>Band ‘D’</w:t>
      </w:r>
      <w:r w:rsidRPr="001944F2">
        <w:t xml:space="preserve"> figures for Cwmbran and Pontypool.</w:t>
      </w:r>
      <w:r w:rsidR="00506CCB">
        <w:t xml:space="preserve"> What this means is that </w:t>
      </w:r>
      <w:r w:rsidR="008125AF">
        <w:t>based on the above tax based figures allocated to each community council, then Blaenavon will always be elevated.</w:t>
      </w:r>
    </w:p>
    <w:p w14:paraId="26E5F7E2" w14:textId="5F6372F0" w:rsidR="002E3085" w:rsidRPr="002E3085" w:rsidRDefault="001944F2" w:rsidP="002E3085">
      <w:r>
        <w:t xml:space="preserve">A useful guide related to </w:t>
      </w:r>
      <w:r w:rsidR="00DE012B">
        <w:t>a council tax charge is based on available chargeable dwellings. In terms of Blaenavon</w:t>
      </w:r>
      <w:r w:rsidR="002E3085">
        <w:t>,</w:t>
      </w:r>
      <w:r w:rsidR="00DE012B">
        <w:t xml:space="preserve"> </w:t>
      </w:r>
      <w:r w:rsidR="002E3085">
        <w:rPr>
          <w:rFonts w:cstheme="minorHAnsi"/>
        </w:rPr>
        <w:t>t</w:t>
      </w:r>
      <w:r w:rsidR="002E3085" w:rsidRPr="00D1177A">
        <w:rPr>
          <w:rFonts w:cstheme="minorHAnsi"/>
        </w:rPr>
        <w:t>he following tables depict this in more detail</w:t>
      </w:r>
      <w:r w:rsidR="002E3085">
        <w:rPr>
          <w:rFonts w:cstheme="minorHAnsi"/>
        </w:rPr>
        <w:t xml:space="preserve">. </w:t>
      </w:r>
    </w:p>
    <w:p w14:paraId="1158B284" w14:textId="70EBF369" w:rsidR="002E3085" w:rsidRPr="002E3085" w:rsidRDefault="002E3085" w:rsidP="002E3085">
      <w:r w:rsidRPr="00D1177A">
        <w:rPr>
          <w:rFonts w:cstheme="minorHAnsi"/>
        </w:rPr>
        <w:t xml:space="preserve">There are currently </w:t>
      </w:r>
      <w:r w:rsidRPr="00D1177A">
        <w:rPr>
          <w:rFonts w:cstheme="minorHAnsi"/>
          <w:b/>
        </w:rPr>
        <w:t>2,</w:t>
      </w:r>
      <w:r>
        <w:rPr>
          <w:rFonts w:cstheme="minorHAnsi"/>
          <w:b/>
        </w:rPr>
        <w:t>908 chargeable</w:t>
      </w:r>
      <w:r w:rsidRPr="00D1177A">
        <w:rPr>
          <w:rFonts w:cstheme="minorHAnsi"/>
        </w:rPr>
        <w:t xml:space="preserve"> dwellings in Blaenavon. The dwelling </w:t>
      </w:r>
      <w:r w:rsidRPr="00D1177A">
        <w:rPr>
          <w:rFonts w:cstheme="minorHAnsi"/>
          <w:b/>
        </w:rPr>
        <w:t>‘Band’</w:t>
      </w:r>
      <w:r w:rsidRPr="00D1177A">
        <w:rPr>
          <w:rFonts w:cstheme="minorHAnsi"/>
        </w:rPr>
        <w:t xml:space="preserve"> breakdown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987"/>
        <w:gridCol w:w="813"/>
        <w:gridCol w:w="1017"/>
        <w:gridCol w:w="808"/>
        <w:gridCol w:w="912"/>
        <w:gridCol w:w="912"/>
        <w:gridCol w:w="913"/>
        <w:gridCol w:w="912"/>
        <w:gridCol w:w="722"/>
      </w:tblGrid>
      <w:tr w:rsidR="002E3085" w:rsidRPr="00D1177A" w14:paraId="205C57ED" w14:textId="77777777" w:rsidTr="00150FB2">
        <w:trPr>
          <w:trHeight w:val="269"/>
        </w:trPr>
        <w:tc>
          <w:tcPr>
            <w:tcW w:w="1023" w:type="dxa"/>
            <w:shd w:val="clear" w:color="auto" w:fill="auto"/>
            <w:tcMar>
              <w:top w:w="0" w:type="dxa"/>
              <w:left w:w="108" w:type="dxa"/>
              <w:bottom w:w="0" w:type="dxa"/>
              <w:right w:w="108" w:type="dxa"/>
            </w:tcMar>
            <w:hideMark/>
          </w:tcPr>
          <w:p w14:paraId="12C522BC" w14:textId="77777777" w:rsidR="002E3085" w:rsidRPr="00D1177A" w:rsidRDefault="002E3085" w:rsidP="00150FB2">
            <w:pPr>
              <w:rPr>
                <w:rFonts w:cstheme="minorHAnsi"/>
                <w:b/>
              </w:rPr>
            </w:pPr>
            <w:r w:rsidRPr="00D1177A">
              <w:rPr>
                <w:rFonts w:cstheme="minorHAnsi"/>
                <w:b/>
              </w:rPr>
              <w:t>A=1,4</w:t>
            </w:r>
            <w:r>
              <w:rPr>
                <w:rFonts w:cstheme="minorHAnsi"/>
                <w:b/>
              </w:rPr>
              <w:t>24</w:t>
            </w:r>
          </w:p>
          <w:p w14:paraId="2FD2434A" w14:textId="77777777" w:rsidR="002E3085" w:rsidRPr="00D1177A" w:rsidRDefault="002E3085" w:rsidP="00150FB2">
            <w:pPr>
              <w:rPr>
                <w:rFonts w:cstheme="minorHAnsi"/>
                <w:b/>
              </w:rPr>
            </w:pPr>
            <w:r w:rsidRPr="00D1177A">
              <w:rPr>
                <w:rFonts w:cstheme="minorHAnsi"/>
                <w:b/>
              </w:rPr>
              <w:t>4</w:t>
            </w:r>
            <w:r>
              <w:rPr>
                <w:rFonts w:cstheme="minorHAnsi"/>
                <w:b/>
              </w:rPr>
              <w:t>8</w:t>
            </w:r>
            <w:r w:rsidRPr="00D1177A">
              <w:rPr>
                <w:rFonts w:cstheme="minorHAnsi"/>
                <w:b/>
              </w:rPr>
              <w:t>.</w:t>
            </w:r>
            <w:r>
              <w:rPr>
                <w:rFonts w:cstheme="minorHAnsi"/>
                <w:b/>
              </w:rPr>
              <w:t>97</w:t>
            </w:r>
            <w:r w:rsidRPr="00D1177A">
              <w:rPr>
                <w:rFonts w:cstheme="minorHAnsi"/>
                <w:b/>
              </w:rPr>
              <w:t>%</w:t>
            </w:r>
          </w:p>
        </w:tc>
        <w:tc>
          <w:tcPr>
            <w:tcW w:w="992" w:type="dxa"/>
            <w:shd w:val="clear" w:color="auto" w:fill="auto"/>
            <w:tcMar>
              <w:top w:w="0" w:type="dxa"/>
              <w:left w:w="108" w:type="dxa"/>
              <w:bottom w:w="0" w:type="dxa"/>
              <w:right w:w="108" w:type="dxa"/>
            </w:tcMar>
            <w:hideMark/>
          </w:tcPr>
          <w:p w14:paraId="306C422E" w14:textId="77777777" w:rsidR="002E3085" w:rsidRPr="00D1177A" w:rsidRDefault="002E3085" w:rsidP="00150FB2">
            <w:pPr>
              <w:rPr>
                <w:rFonts w:cstheme="minorHAnsi"/>
                <w:b/>
              </w:rPr>
            </w:pPr>
            <w:r w:rsidRPr="00D1177A">
              <w:rPr>
                <w:rFonts w:cstheme="minorHAnsi"/>
                <w:b/>
              </w:rPr>
              <w:t>B=</w:t>
            </w:r>
            <w:r>
              <w:rPr>
                <w:rFonts w:cstheme="minorHAnsi"/>
                <w:b/>
              </w:rPr>
              <w:t>973</w:t>
            </w:r>
          </w:p>
          <w:p w14:paraId="44339F73" w14:textId="77777777" w:rsidR="002E3085" w:rsidRPr="00D1177A" w:rsidRDefault="002E3085" w:rsidP="00150FB2">
            <w:pPr>
              <w:rPr>
                <w:rFonts w:cstheme="minorHAnsi"/>
                <w:b/>
              </w:rPr>
            </w:pPr>
            <w:r w:rsidRPr="00D1177A">
              <w:rPr>
                <w:rFonts w:cstheme="minorHAnsi"/>
                <w:b/>
              </w:rPr>
              <w:t>3</w:t>
            </w:r>
            <w:r>
              <w:rPr>
                <w:rFonts w:cstheme="minorHAnsi"/>
                <w:b/>
              </w:rPr>
              <w:t>3</w:t>
            </w:r>
            <w:r w:rsidRPr="00D1177A">
              <w:rPr>
                <w:rFonts w:cstheme="minorHAnsi"/>
                <w:b/>
              </w:rPr>
              <w:t>.4</w:t>
            </w:r>
            <w:r>
              <w:rPr>
                <w:rFonts w:cstheme="minorHAnsi"/>
                <w:b/>
              </w:rPr>
              <w:t>6</w:t>
            </w:r>
            <w:r w:rsidRPr="00D1177A">
              <w:rPr>
                <w:rFonts w:cstheme="minorHAnsi"/>
                <w:b/>
              </w:rPr>
              <w:t>%</w:t>
            </w:r>
          </w:p>
        </w:tc>
        <w:tc>
          <w:tcPr>
            <w:tcW w:w="815" w:type="dxa"/>
            <w:shd w:val="clear" w:color="auto" w:fill="auto"/>
            <w:tcMar>
              <w:top w:w="0" w:type="dxa"/>
              <w:left w:w="108" w:type="dxa"/>
              <w:bottom w:w="0" w:type="dxa"/>
              <w:right w:w="108" w:type="dxa"/>
            </w:tcMar>
            <w:hideMark/>
          </w:tcPr>
          <w:p w14:paraId="0B78D639" w14:textId="77777777" w:rsidR="002E3085" w:rsidRPr="00D1177A" w:rsidRDefault="002E3085" w:rsidP="00150FB2">
            <w:pPr>
              <w:rPr>
                <w:rFonts w:cstheme="minorHAnsi"/>
                <w:b/>
              </w:rPr>
            </w:pPr>
            <w:r w:rsidRPr="00D1177A">
              <w:rPr>
                <w:rFonts w:cstheme="minorHAnsi"/>
                <w:b/>
              </w:rPr>
              <w:t>C=</w:t>
            </w:r>
            <w:r>
              <w:rPr>
                <w:rFonts w:cstheme="minorHAnsi"/>
                <w:b/>
              </w:rPr>
              <w:t>225</w:t>
            </w:r>
          </w:p>
          <w:p w14:paraId="35BEFB36" w14:textId="77777777" w:rsidR="002E3085" w:rsidRPr="00D1177A" w:rsidRDefault="002E3085" w:rsidP="00150FB2">
            <w:pPr>
              <w:rPr>
                <w:rFonts w:cstheme="minorHAnsi"/>
                <w:b/>
              </w:rPr>
            </w:pPr>
            <w:r>
              <w:rPr>
                <w:rFonts w:cstheme="minorHAnsi"/>
                <w:b/>
              </w:rPr>
              <w:t>7</w:t>
            </w:r>
            <w:r w:rsidRPr="00D1177A">
              <w:rPr>
                <w:rFonts w:cstheme="minorHAnsi"/>
                <w:b/>
              </w:rPr>
              <w:t>.</w:t>
            </w:r>
            <w:r>
              <w:rPr>
                <w:rFonts w:cstheme="minorHAnsi"/>
                <w:b/>
              </w:rPr>
              <w:t>74</w:t>
            </w:r>
            <w:r w:rsidRPr="00D1177A">
              <w:rPr>
                <w:rFonts w:cstheme="minorHAnsi"/>
                <w:b/>
              </w:rPr>
              <w:t>%</w:t>
            </w:r>
          </w:p>
        </w:tc>
        <w:tc>
          <w:tcPr>
            <w:tcW w:w="1028" w:type="dxa"/>
            <w:shd w:val="clear" w:color="auto" w:fill="92D050"/>
            <w:tcMar>
              <w:top w:w="0" w:type="dxa"/>
              <w:left w:w="108" w:type="dxa"/>
              <w:bottom w:w="0" w:type="dxa"/>
              <w:right w:w="108" w:type="dxa"/>
            </w:tcMar>
            <w:hideMark/>
          </w:tcPr>
          <w:p w14:paraId="7AB80A6D" w14:textId="77777777" w:rsidR="002E3085" w:rsidRPr="00D1177A" w:rsidRDefault="002E3085" w:rsidP="00150FB2">
            <w:pPr>
              <w:rPr>
                <w:rFonts w:cstheme="minorHAnsi"/>
                <w:b/>
              </w:rPr>
            </w:pPr>
            <w:r w:rsidRPr="00D1177A">
              <w:rPr>
                <w:rFonts w:cstheme="minorHAnsi"/>
                <w:b/>
              </w:rPr>
              <w:t>D=</w:t>
            </w:r>
            <w:r>
              <w:rPr>
                <w:rFonts w:cstheme="minorHAnsi"/>
                <w:b/>
              </w:rPr>
              <w:t>151</w:t>
            </w:r>
          </w:p>
          <w:p w14:paraId="0174E034" w14:textId="77777777" w:rsidR="002E3085" w:rsidRPr="00D1177A" w:rsidRDefault="002E3085" w:rsidP="00150FB2">
            <w:pPr>
              <w:rPr>
                <w:rFonts w:cstheme="minorHAnsi"/>
                <w:b/>
              </w:rPr>
            </w:pPr>
            <w:r w:rsidRPr="00D1177A">
              <w:rPr>
                <w:rFonts w:cstheme="minorHAnsi"/>
                <w:b/>
              </w:rPr>
              <w:t>5.</w:t>
            </w:r>
            <w:r>
              <w:rPr>
                <w:rFonts w:cstheme="minorHAnsi"/>
                <w:b/>
              </w:rPr>
              <w:t>19</w:t>
            </w:r>
            <w:r w:rsidRPr="00D1177A">
              <w:rPr>
                <w:rFonts w:cstheme="minorHAnsi"/>
                <w:b/>
              </w:rPr>
              <w:t>%</w:t>
            </w:r>
          </w:p>
        </w:tc>
        <w:tc>
          <w:tcPr>
            <w:tcW w:w="810" w:type="dxa"/>
            <w:shd w:val="clear" w:color="auto" w:fill="auto"/>
            <w:tcMar>
              <w:top w:w="0" w:type="dxa"/>
              <w:left w:w="108" w:type="dxa"/>
              <w:bottom w:w="0" w:type="dxa"/>
              <w:right w:w="108" w:type="dxa"/>
            </w:tcMar>
            <w:hideMark/>
          </w:tcPr>
          <w:p w14:paraId="7BC9CDE1" w14:textId="77777777" w:rsidR="002E3085" w:rsidRPr="00D1177A" w:rsidRDefault="002E3085" w:rsidP="00150FB2">
            <w:pPr>
              <w:rPr>
                <w:rFonts w:cstheme="minorHAnsi"/>
                <w:b/>
              </w:rPr>
            </w:pPr>
            <w:r w:rsidRPr="00D1177A">
              <w:rPr>
                <w:rFonts w:cstheme="minorHAnsi"/>
                <w:b/>
              </w:rPr>
              <w:t>E=</w:t>
            </w:r>
            <w:r>
              <w:rPr>
                <w:rFonts w:cstheme="minorHAnsi"/>
                <w:b/>
              </w:rPr>
              <w:t>101</w:t>
            </w:r>
          </w:p>
          <w:p w14:paraId="07EC2A47" w14:textId="77777777" w:rsidR="002E3085" w:rsidRPr="00D1177A" w:rsidRDefault="002E3085" w:rsidP="00150FB2">
            <w:pPr>
              <w:rPr>
                <w:rFonts w:cstheme="minorHAnsi"/>
                <w:b/>
              </w:rPr>
            </w:pPr>
            <w:r w:rsidRPr="00D1177A">
              <w:rPr>
                <w:rFonts w:cstheme="minorHAnsi"/>
                <w:b/>
              </w:rPr>
              <w:t>3.</w:t>
            </w:r>
            <w:r>
              <w:rPr>
                <w:rFonts w:cstheme="minorHAnsi"/>
                <w:b/>
              </w:rPr>
              <w:t>47</w:t>
            </w:r>
            <w:r w:rsidRPr="00D1177A">
              <w:rPr>
                <w:rFonts w:cstheme="minorHAnsi"/>
                <w:b/>
              </w:rPr>
              <w:t>%</w:t>
            </w:r>
          </w:p>
        </w:tc>
        <w:tc>
          <w:tcPr>
            <w:tcW w:w="919" w:type="dxa"/>
            <w:shd w:val="clear" w:color="auto" w:fill="auto"/>
            <w:tcMar>
              <w:top w:w="0" w:type="dxa"/>
              <w:left w:w="108" w:type="dxa"/>
              <w:bottom w:w="0" w:type="dxa"/>
              <w:right w:w="108" w:type="dxa"/>
            </w:tcMar>
            <w:hideMark/>
          </w:tcPr>
          <w:p w14:paraId="0A1E9646" w14:textId="77777777" w:rsidR="002E3085" w:rsidRPr="00D1177A" w:rsidRDefault="002E3085" w:rsidP="00150FB2">
            <w:pPr>
              <w:rPr>
                <w:rFonts w:cstheme="minorHAnsi"/>
                <w:b/>
              </w:rPr>
            </w:pPr>
            <w:r w:rsidRPr="00D1177A">
              <w:rPr>
                <w:rFonts w:cstheme="minorHAnsi"/>
                <w:b/>
              </w:rPr>
              <w:t>F=2</w:t>
            </w:r>
            <w:r>
              <w:rPr>
                <w:rFonts w:cstheme="minorHAnsi"/>
                <w:b/>
              </w:rPr>
              <w:t>8</w:t>
            </w:r>
          </w:p>
          <w:p w14:paraId="5277C2E9" w14:textId="77777777" w:rsidR="002E3085" w:rsidRPr="00D1177A" w:rsidRDefault="002E3085" w:rsidP="00150FB2">
            <w:pPr>
              <w:rPr>
                <w:rFonts w:cstheme="minorHAnsi"/>
                <w:b/>
              </w:rPr>
            </w:pPr>
            <w:r>
              <w:rPr>
                <w:rFonts w:cstheme="minorHAnsi"/>
                <w:b/>
              </w:rPr>
              <w:t>0</w:t>
            </w:r>
            <w:r w:rsidRPr="00D1177A">
              <w:rPr>
                <w:rFonts w:cstheme="minorHAnsi"/>
                <w:b/>
              </w:rPr>
              <w:t>.</w:t>
            </w:r>
            <w:r>
              <w:rPr>
                <w:rFonts w:cstheme="minorHAnsi"/>
                <w:b/>
              </w:rPr>
              <w:t>96</w:t>
            </w:r>
            <w:r w:rsidRPr="00D1177A">
              <w:rPr>
                <w:rFonts w:cstheme="minorHAnsi"/>
                <w:b/>
              </w:rPr>
              <w:t>%</w:t>
            </w:r>
          </w:p>
        </w:tc>
        <w:tc>
          <w:tcPr>
            <w:tcW w:w="919" w:type="dxa"/>
            <w:shd w:val="clear" w:color="auto" w:fill="auto"/>
            <w:tcMar>
              <w:top w:w="0" w:type="dxa"/>
              <w:left w:w="108" w:type="dxa"/>
              <w:bottom w:w="0" w:type="dxa"/>
              <w:right w:w="108" w:type="dxa"/>
            </w:tcMar>
            <w:hideMark/>
          </w:tcPr>
          <w:p w14:paraId="577D496C" w14:textId="77777777" w:rsidR="002E3085" w:rsidRPr="00D1177A" w:rsidRDefault="002E3085" w:rsidP="00150FB2">
            <w:pPr>
              <w:rPr>
                <w:rFonts w:cstheme="minorHAnsi"/>
                <w:b/>
              </w:rPr>
            </w:pPr>
            <w:r w:rsidRPr="00D1177A">
              <w:rPr>
                <w:rFonts w:cstheme="minorHAnsi"/>
                <w:b/>
              </w:rPr>
              <w:t>G=</w:t>
            </w:r>
            <w:r>
              <w:rPr>
                <w:rFonts w:cstheme="minorHAnsi"/>
                <w:b/>
              </w:rPr>
              <w:t>4</w:t>
            </w:r>
          </w:p>
          <w:p w14:paraId="7C7699D5" w14:textId="77777777" w:rsidR="002E3085" w:rsidRPr="00D1177A" w:rsidRDefault="002E3085" w:rsidP="00150FB2">
            <w:pPr>
              <w:rPr>
                <w:rFonts w:cstheme="minorHAnsi"/>
                <w:b/>
              </w:rPr>
            </w:pPr>
            <w:r w:rsidRPr="00D1177A">
              <w:rPr>
                <w:rFonts w:cstheme="minorHAnsi"/>
                <w:b/>
              </w:rPr>
              <w:t>0.1</w:t>
            </w:r>
            <w:r>
              <w:rPr>
                <w:rFonts w:cstheme="minorHAnsi"/>
                <w:b/>
              </w:rPr>
              <w:t>4</w:t>
            </w:r>
            <w:r w:rsidRPr="00D1177A">
              <w:rPr>
                <w:rFonts w:cstheme="minorHAnsi"/>
                <w:b/>
              </w:rPr>
              <w:t>%</w:t>
            </w:r>
          </w:p>
        </w:tc>
        <w:tc>
          <w:tcPr>
            <w:tcW w:w="920" w:type="dxa"/>
            <w:shd w:val="clear" w:color="auto" w:fill="auto"/>
            <w:tcMar>
              <w:top w:w="0" w:type="dxa"/>
              <w:left w:w="108" w:type="dxa"/>
              <w:bottom w:w="0" w:type="dxa"/>
              <w:right w:w="108" w:type="dxa"/>
            </w:tcMar>
            <w:hideMark/>
          </w:tcPr>
          <w:p w14:paraId="6CF88C45" w14:textId="77777777" w:rsidR="002E3085" w:rsidRPr="00D1177A" w:rsidRDefault="002E3085" w:rsidP="00150FB2">
            <w:pPr>
              <w:rPr>
                <w:rFonts w:cstheme="minorHAnsi"/>
                <w:b/>
              </w:rPr>
            </w:pPr>
            <w:r w:rsidRPr="00D1177A">
              <w:rPr>
                <w:rFonts w:cstheme="minorHAnsi"/>
                <w:b/>
              </w:rPr>
              <w:t>H=1</w:t>
            </w:r>
          </w:p>
          <w:p w14:paraId="162A11B4" w14:textId="77777777" w:rsidR="002E3085" w:rsidRPr="00D1177A" w:rsidRDefault="002E3085" w:rsidP="00150FB2">
            <w:pPr>
              <w:rPr>
                <w:rFonts w:cstheme="minorHAnsi"/>
                <w:b/>
              </w:rPr>
            </w:pPr>
            <w:r w:rsidRPr="00D1177A">
              <w:rPr>
                <w:rFonts w:cstheme="minorHAnsi"/>
                <w:b/>
              </w:rPr>
              <w:t>0.0</w:t>
            </w:r>
            <w:r>
              <w:rPr>
                <w:rFonts w:cstheme="minorHAnsi"/>
                <w:b/>
              </w:rPr>
              <w:t>3</w:t>
            </w:r>
            <w:r w:rsidRPr="00D1177A">
              <w:rPr>
                <w:rFonts w:cstheme="minorHAnsi"/>
                <w:b/>
              </w:rPr>
              <w:t>%</w:t>
            </w:r>
          </w:p>
        </w:tc>
        <w:tc>
          <w:tcPr>
            <w:tcW w:w="919" w:type="dxa"/>
            <w:shd w:val="clear" w:color="auto" w:fill="auto"/>
            <w:tcMar>
              <w:top w:w="0" w:type="dxa"/>
              <w:left w:w="108" w:type="dxa"/>
              <w:bottom w:w="0" w:type="dxa"/>
              <w:right w:w="108" w:type="dxa"/>
            </w:tcMar>
            <w:hideMark/>
          </w:tcPr>
          <w:p w14:paraId="66F5E9C0" w14:textId="77777777" w:rsidR="002E3085" w:rsidRPr="00D1177A" w:rsidRDefault="002E3085" w:rsidP="00150FB2">
            <w:pPr>
              <w:rPr>
                <w:rFonts w:cstheme="minorHAnsi"/>
                <w:b/>
              </w:rPr>
            </w:pPr>
            <w:r w:rsidRPr="00D1177A">
              <w:rPr>
                <w:rFonts w:cstheme="minorHAnsi"/>
                <w:b/>
              </w:rPr>
              <w:t>I=1</w:t>
            </w:r>
          </w:p>
          <w:p w14:paraId="03154FE8" w14:textId="77777777" w:rsidR="002E3085" w:rsidRPr="00D1177A" w:rsidRDefault="002E3085" w:rsidP="00150FB2">
            <w:pPr>
              <w:rPr>
                <w:rFonts w:cstheme="minorHAnsi"/>
                <w:b/>
              </w:rPr>
            </w:pPr>
            <w:r w:rsidRPr="00D1177A">
              <w:rPr>
                <w:rFonts w:cstheme="minorHAnsi"/>
                <w:b/>
              </w:rPr>
              <w:t>0.0</w:t>
            </w:r>
            <w:r>
              <w:rPr>
                <w:rFonts w:cstheme="minorHAnsi"/>
                <w:b/>
              </w:rPr>
              <w:t>3</w:t>
            </w:r>
            <w:r w:rsidRPr="00D1177A">
              <w:rPr>
                <w:rFonts w:cstheme="minorHAnsi"/>
                <w:b/>
              </w:rPr>
              <w:t>%</w:t>
            </w:r>
          </w:p>
        </w:tc>
        <w:tc>
          <w:tcPr>
            <w:tcW w:w="722" w:type="dxa"/>
            <w:shd w:val="clear" w:color="auto" w:fill="ACB9CA" w:themeFill="text2" w:themeFillTint="66"/>
            <w:tcMar>
              <w:top w:w="0" w:type="dxa"/>
              <w:left w:w="108" w:type="dxa"/>
              <w:bottom w:w="0" w:type="dxa"/>
              <w:right w:w="108" w:type="dxa"/>
            </w:tcMar>
            <w:hideMark/>
          </w:tcPr>
          <w:p w14:paraId="63A732FF" w14:textId="77777777" w:rsidR="002E3085" w:rsidRPr="00D1177A" w:rsidRDefault="002E3085" w:rsidP="00150FB2">
            <w:pPr>
              <w:jc w:val="center"/>
              <w:rPr>
                <w:rFonts w:cstheme="minorHAnsi"/>
                <w:b/>
              </w:rPr>
            </w:pPr>
            <w:r w:rsidRPr="00D1177A">
              <w:rPr>
                <w:rFonts w:cstheme="minorHAnsi"/>
                <w:b/>
              </w:rPr>
              <w:t>2,</w:t>
            </w:r>
            <w:r>
              <w:rPr>
                <w:rFonts w:cstheme="minorHAnsi"/>
                <w:b/>
              </w:rPr>
              <w:t>908</w:t>
            </w:r>
          </w:p>
        </w:tc>
      </w:tr>
    </w:tbl>
    <w:p w14:paraId="11A5F02C" w14:textId="77777777" w:rsidR="002E3085" w:rsidRDefault="002E3085" w:rsidP="002E3085">
      <w:pPr>
        <w:rPr>
          <w:rFonts w:cstheme="minorHAnsi"/>
        </w:rPr>
      </w:pPr>
    </w:p>
    <w:p w14:paraId="25FB8FFE" w14:textId="77777777" w:rsidR="002E3085" w:rsidRPr="00D1177A" w:rsidRDefault="002E3085" w:rsidP="002E3085">
      <w:pPr>
        <w:rPr>
          <w:rFonts w:cstheme="minorHAnsi"/>
        </w:rPr>
      </w:pPr>
      <w:r w:rsidRPr="00D1177A">
        <w:rPr>
          <w:rFonts w:cstheme="minorHAnsi"/>
        </w:rPr>
        <w:t xml:space="preserve">There are </w:t>
      </w:r>
      <w:r>
        <w:rPr>
          <w:rFonts w:cstheme="minorHAnsi"/>
        </w:rPr>
        <w:t>approximately</w:t>
      </w:r>
      <w:r w:rsidRPr="00D1177A">
        <w:rPr>
          <w:rFonts w:cstheme="minorHAnsi"/>
        </w:rPr>
        <w:t xml:space="preserve"> </w:t>
      </w:r>
      <w:r w:rsidRPr="00D1177A">
        <w:rPr>
          <w:rFonts w:cstheme="minorHAnsi"/>
          <w:b/>
        </w:rPr>
        <w:t>1,</w:t>
      </w:r>
      <w:r>
        <w:rPr>
          <w:rFonts w:cstheme="minorHAnsi"/>
          <w:b/>
        </w:rPr>
        <w:t>229</w:t>
      </w:r>
      <w:r w:rsidRPr="00D1177A">
        <w:rPr>
          <w:rFonts w:cstheme="minorHAnsi"/>
        </w:rPr>
        <w:t xml:space="preserve"> dwellings in Blaenavon or </w:t>
      </w:r>
      <w:r w:rsidRPr="00D1177A">
        <w:rPr>
          <w:rFonts w:cstheme="minorHAnsi"/>
          <w:b/>
        </w:rPr>
        <w:t>4</w:t>
      </w:r>
      <w:r>
        <w:rPr>
          <w:rFonts w:cstheme="minorHAnsi"/>
          <w:b/>
        </w:rPr>
        <w:t>2</w:t>
      </w:r>
      <w:r w:rsidRPr="00D1177A">
        <w:rPr>
          <w:rFonts w:cstheme="minorHAnsi"/>
          <w:b/>
        </w:rPr>
        <w:t>.</w:t>
      </w:r>
      <w:r>
        <w:rPr>
          <w:rFonts w:cstheme="minorHAnsi"/>
          <w:b/>
        </w:rPr>
        <w:t>3</w:t>
      </w:r>
      <w:r w:rsidRPr="00D1177A">
        <w:rPr>
          <w:rFonts w:cstheme="minorHAnsi"/>
          <w:b/>
        </w:rPr>
        <w:t>%</w:t>
      </w:r>
      <w:r w:rsidRPr="00D1177A">
        <w:rPr>
          <w:rFonts w:cstheme="minorHAnsi"/>
        </w:rPr>
        <w:t xml:space="preserve"> who are registered as </w:t>
      </w:r>
      <w:r w:rsidRPr="00D1177A">
        <w:rPr>
          <w:rFonts w:cstheme="minorHAnsi"/>
          <w:b/>
        </w:rPr>
        <w:t>‘Discounted Dwellings’</w:t>
      </w:r>
      <w:r>
        <w:rPr>
          <w:rFonts w:cstheme="minorHAnsi"/>
          <w:b/>
        </w:rPr>
        <w:t xml:space="preserve">. </w:t>
      </w:r>
      <w:r w:rsidRPr="00D1177A">
        <w:rPr>
          <w:rFonts w:cstheme="minorHAnsi"/>
        </w:rPr>
        <w:t>This is broken down as follows:</w:t>
      </w:r>
    </w:p>
    <w:tbl>
      <w:tblPr>
        <w:tblStyle w:val="TableGrid"/>
        <w:tblW w:w="0" w:type="auto"/>
        <w:tblLook w:val="04A0" w:firstRow="1" w:lastRow="0" w:firstColumn="1" w:lastColumn="0" w:noHBand="0" w:noVBand="1"/>
      </w:tblPr>
      <w:tblGrid>
        <w:gridCol w:w="1020"/>
        <w:gridCol w:w="888"/>
        <w:gridCol w:w="887"/>
        <w:gridCol w:w="887"/>
        <w:gridCol w:w="889"/>
        <w:gridCol w:w="889"/>
        <w:gridCol w:w="889"/>
        <w:gridCol w:w="889"/>
        <w:gridCol w:w="889"/>
        <w:gridCol w:w="889"/>
      </w:tblGrid>
      <w:tr w:rsidR="002E3085" w:rsidRPr="00D1177A" w14:paraId="133EBF29" w14:textId="77777777" w:rsidTr="00150FB2">
        <w:tc>
          <w:tcPr>
            <w:tcW w:w="909" w:type="dxa"/>
          </w:tcPr>
          <w:p w14:paraId="3ECFCC1B" w14:textId="77777777" w:rsidR="002E3085" w:rsidRPr="00D1177A" w:rsidRDefault="002E3085" w:rsidP="00150FB2">
            <w:pPr>
              <w:jc w:val="center"/>
              <w:rPr>
                <w:rFonts w:cstheme="minorHAnsi"/>
                <w:b/>
              </w:rPr>
            </w:pPr>
            <w:r w:rsidRPr="00D1177A">
              <w:rPr>
                <w:rFonts w:cstheme="minorHAnsi"/>
                <w:b/>
              </w:rPr>
              <w:t>% Discount</w:t>
            </w:r>
          </w:p>
        </w:tc>
        <w:tc>
          <w:tcPr>
            <w:tcW w:w="901" w:type="dxa"/>
          </w:tcPr>
          <w:p w14:paraId="44D5F090" w14:textId="77777777" w:rsidR="002E3085" w:rsidRPr="00D1177A" w:rsidRDefault="002E3085" w:rsidP="00150FB2">
            <w:pPr>
              <w:jc w:val="center"/>
              <w:rPr>
                <w:rFonts w:cstheme="minorHAnsi"/>
                <w:b/>
              </w:rPr>
            </w:pPr>
            <w:r w:rsidRPr="00D1177A">
              <w:rPr>
                <w:rFonts w:cstheme="minorHAnsi"/>
                <w:b/>
              </w:rPr>
              <w:t xml:space="preserve">Band </w:t>
            </w:r>
          </w:p>
          <w:p w14:paraId="5E7AAC76" w14:textId="77777777" w:rsidR="002E3085" w:rsidRPr="00D1177A" w:rsidRDefault="002E3085" w:rsidP="00150FB2">
            <w:pPr>
              <w:jc w:val="center"/>
              <w:rPr>
                <w:rFonts w:cstheme="minorHAnsi"/>
                <w:b/>
              </w:rPr>
            </w:pPr>
            <w:r w:rsidRPr="00D1177A">
              <w:rPr>
                <w:rFonts w:cstheme="minorHAnsi"/>
                <w:b/>
              </w:rPr>
              <w:t>A</w:t>
            </w:r>
          </w:p>
        </w:tc>
        <w:tc>
          <w:tcPr>
            <w:tcW w:w="900" w:type="dxa"/>
          </w:tcPr>
          <w:p w14:paraId="23371724" w14:textId="77777777" w:rsidR="002E3085" w:rsidRPr="00D1177A" w:rsidRDefault="002E3085" w:rsidP="00150FB2">
            <w:pPr>
              <w:jc w:val="center"/>
              <w:rPr>
                <w:rFonts w:cstheme="minorHAnsi"/>
                <w:b/>
              </w:rPr>
            </w:pPr>
            <w:r w:rsidRPr="00D1177A">
              <w:rPr>
                <w:rFonts w:cstheme="minorHAnsi"/>
                <w:b/>
              </w:rPr>
              <w:t xml:space="preserve">Band </w:t>
            </w:r>
          </w:p>
          <w:p w14:paraId="137F859D" w14:textId="77777777" w:rsidR="002E3085" w:rsidRPr="00D1177A" w:rsidRDefault="002E3085" w:rsidP="00150FB2">
            <w:pPr>
              <w:jc w:val="center"/>
              <w:rPr>
                <w:rFonts w:cstheme="minorHAnsi"/>
                <w:b/>
              </w:rPr>
            </w:pPr>
            <w:r w:rsidRPr="00D1177A">
              <w:rPr>
                <w:rFonts w:cstheme="minorHAnsi"/>
                <w:b/>
              </w:rPr>
              <w:t>B</w:t>
            </w:r>
          </w:p>
        </w:tc>
        <w:tc>
          <w:tcPr>
            <w:tcW w:w="900" w:type="dxa"/>
          </w:tcPr>
          <w:p w14:paraId="1E35A118" w14:textId="77777777" w:rsidR="002E3085" w:rsidRPr="00D1177A" w:rsidRDefault="002E3085" w:rsidP="00150FB2">
            <w:pPr>
              <w:jc w:val="center"/>
              <w:rPr>
                <w:rFonts w:cstheme="minorHAnsi"/>
                <w:b/>
              </w:rPr>
            </w:pPr>
            <w:r w:rsidRPr="00D1177A">
              <w:rPr>
                <w:rFonts w:cstheme="minorHAnsi"/>
                <w:b/>
              </w:rPr>
              <w:t xml:space="preserve">Band </w:t>
            </w:r>
          </w:p>
          <w:p w14:paraId="0A71CD05" w14:textId="77777777" w:rsidR="002E3085" w:rsidRPr="00D1177A" w:rsidRDefault="002E3085" w:rsidP="00150FB2">
            <w:pPr>
              <w:jc w:val="center"/>
              <w:rPr>
                <w:rFonts w:cstheme="minorHAnsi"/>
                <w:b/>
              </w:rPr>
            </w:pPr>
            <w:r w:rsidRPr="00D1177A">
              <w:rPr>
                <w:rFonts w:cstheme="minorHAnsi"/>
                <w:b/>
              </w:rPr>
              <w:t>C</w:t>
            </w:r>
          </w:p>
        </w:tc>
        <w:tc>
          <w:tcPr>
            <w:tcW w:w="901" w:type="dxa"/>
            <w:shd w:val="clear" w:color="auto" w:fill="92D050"/>
          </w:tcPr>
          <w:p w14:paraId="4AD2EE3D" w14:textId="77777777" w:rsidR="002E3085" w:rsidRPr="00D1177A" w:rsidRDefault="002E3085" w:rsidP="00150FB2">
            <w:pPr>
              <w:jc w:val="center"/>
              <w:rPr>
                <w:rFonts w:cstheme="minorHAnsi"/>
                <w:b/>
              </w:rPr>
            </w:pPr>
            <w:r w:rsidRPr="00D1177A">
              <w:rPr>
                <w:rFonts w:cstheme="minorHAnsi"/>
                <w:b/>
              </w:rPr>
              <w:t xml:space="preserve">Band </w:t>
            </w:r>
          </w:p>
          <w:p w14:paraId="190A878F" w14:textId="77777777" w:rsidR="002E3085" w:rsidRPr="00D1177A" w:rsidRDefault="002E3085" w:rsidP="00150FB2">
            <w:pPr>
              <w:jc w:val="center"/>
              <w:rPr>
                <w:rFonts w:cstheme="minorHAnsi"/>
                <w:b/>
              </w:rPr>
            </w:pPr>
            <w:r w:rsidRPr="00D1177A">
              <w:rPr>
                <w:rFonts w:cstheme="minorHAnsi"/>
                <w:b/>
              </w:rPr>
              <w:t>D</w:t>
            </w:r>
          </w:p>
        </w:tc>
        <w:tc>
          <w:tcPr>
            <w:tcW w:w="901" w:type="dxa"/>
          </w:tcPr>
          <w:p w14:paraId="43FF33EB" w14:textId="77777777" w:rsidR="002E3085" w:rsidRPr="00D1177A" w:rsidRDefault="002E3085" w:rsidP="00150FB2">
            <w:pPr>
              <w:jc w:val="center"/>
              <w:rPr>
                <w:rFonts w:cstheme="minorHAnsi"/>
                <w:b/>
              </w:rPr>
            </w:pPr>
            <w:r w:rsidRPr="00D1177A">
              <w:rPr>
                <w:rFonts w:cstheme="minorHAnsi"/>
                <w:b/>
              </w:rPr>
              <w:t xml:space="preserve">Band </w:t>
            </w:r>
          </w:p>
          <w:p w14:paraId="30779657" w14:textId="77777777" w:rsidR="002E3085" w:rsidRPr="00D1177A" w:rsidRDefault="002E3085" w:rsidP="00150FB2">
            <w:pPr>
              <w:jc w:val="center"/>
              <w:rPr>
                <w:rFonts w:cstheme="minorHAnsi"/>
                <w:b/>
              </w:rPr>
            </w:pPr>
            <w:r w:rsidRPr="00D1177A">
              <w:rPr>
                <w:rFonts w:cstheme="minorHAnsi"/>
                <w:b/>
              </w:rPr>
              <w:t>E</w:t>
            </w:r>
          </w:p>
        </w:tc>
        <w:tc>
          <w:tcPr>
            <w:tcW w:w="901" w:type="dxa"/>
          </w:tcPr>
          <w:p w14:paraId="76CF4485" w14:textId="77777777" w:rsidR="002E3085" w:rsidRPr="00D1177A" w:rsidRDefault="002E3085" w:rsidP="00150FB2">
            <w:pPr>
              <w:jc w:val="center"/>
              <w:rPr>
                <w:rFonts w:cstheme="minorHAnsi"/>
                <w:b/>
              </w:rPr>
            </w:pPr>
            <w:r w:rsidRPr="00D1177A">
              <w:rPr>
                <w:rFonts w:cstheme="minorHAnsi"/>
                <w:b/>
              </w:rPr>
              <w:t xml:space="preserve">Band </w:t>
            </w:r>
          </w:p>
          <w:p w14:paraId="08849602" w14:textId="77777777" w:rsidR="002E3085" w:rsidRPr="00D1177A" w:rsidRDefault="002E3085" w:rsidP="00150FB2">
            <w:pPr>
              <w:jc w:val="center"/>
              <w:rPr>
                <w:rFonts w:cstheme="minorHAnsi"/>
                <w:b/>
              </w:rPr>
            </w:pPr>
            <w:r w:rsidRPr="00D1177A">
              <w:rPr>
                <w:rFonts w:cstheme="minorHAnsi"/>
                <w:b/>
              </w:rPr>
              <w:t>F</w:t>
            </w:r>
          </w:p>
        </w:tc>
        <w:tc>
          <w:tcPr>
            <w:tcW w:w="901" w:type="dxa"/>
          </w:tcPr>
          <w:p w14:paraId="617B8F95" w14:textId="77777777" w:rsidR="002E3085" w:rsidRPr="00D1177A" w:rsidRDefault="002E3085" w:rsidP="00150FB2">
            <w:pPr>
              <w:jc w:val="center"/>
              <w:rPr>
                <w:rFonts w:cstheme="minorHAnsi"/>
                <w:b/>
              </w:rPr>
            </w:pPr>
            <w:r w:rsidRPr="00D1177A">
              <w:rPr>
                <w:rFonts w:cstheme="minorHAnsi"/>
                <w:b/>
              </w:rPr>
              <w:t xml:space="preserve">Band </w:t>
            </w:r>
          </w:p>
          <w:p w14:paraId="5C40448F" w14:textId="77777777" w:rsidR="002E3085" w:rsidRPr="00D1177A" w:rsidRDefault="002E3085" w:rsidP="00150FB2">
            <w:pPr>
              <w:jc w:val="center"/>
              <w:rPr>
                <w:rFonts w:cstheme="minorHAnsi"/>
                <w:b/>
              </w:rPr>
            </w:pPr>
            <w:r w:rsidRPr="00D1177A">
              <w:rPr>
                <w:rFonts w:cstheme="minorHAnsi"/>
                <w:b/>
              </w:rPr>
              <w:t>G</w:t>
            </w:r>
          </w:p>
        </w:tc>
        <w:tc>
          <w:tcPr>
            <w:tcW w:w="901" w:type="dxa"/>
          </w:tcPr>
          <w:p w14:paraId="2892FE56" w14:textId="77777777" w:rsidR="002E3085" w:rsidRPr="00D1177A" w:rsidRDefault="002E3085" w:rsidP="00150FB2">
            <w:pPr>
              <w:jc w:val="center"/>
              <w:rPr>
                <w:rFonts w:cstheme="minorHAnsi"/>
                <w:b/>
              </w:rPr>
            </w:pPr>
            <w:r w:rsidRPr="00D1177A">
              <w:rPr>
                <w:rFonts w:cstheme="minorHAnsi"/>
                <w:b/>
              </w:rPr>
              <w:t>Band</w:t>
            </w:r>
          </w:p>
          <w:p w14:paraId="2A3401A9" w14:textId="77777777" w:rsidR="002E3085" w:rsidRPr="00D1177A" w:rsidRDefault="002E3085" w:rsidP="00150FB2">
            <w:pPr>
              <w:jc w:val="center"/>
              <w:rPr>
                <w:rFonts w:cstheme="minorHAnsi"/>
                <w:b/>
              </w:rPr>
            </w:pPr>
            <w:r w:rsidRPr="00D1177A">
              <w:rPr>
                <w:rFonts w:cstheme="minorHAnsi"/>
                <w:b/>
              </w:rPr>
              <w:t xml:space="preserve"> H</w:t>
            </w:r>
          </w:p>
        </w:tc>
        <w:tc>
          <w:tcPr>
            <w:tcW w:w="901" w:type="dxa"/>
          </w:tcPr>
          <w:p w14:paraId="283070C2" w14:textId="77777777" w:rsidR="002E3085" w:rsidRPr="00D1177A" w:rsidRDefault="002E3085" w:rsidP="00150FB2">
            <w:pPr>
              <w:jc w:val="center"/>
              <w:rPr>
                <w:rFonts w:cstheme="minorHAnsi"/>
                <w:b/>
              </w:rPr>
            </w:pPr>
            <w:r w:rsidRPr="00D1177A">
              <w:rPr>
                <w:rFonts w:cstheme="minorHAnsi"/>
                <w:b/>
              </w:rPr>
              <w:t xml:space="preserve">Band </w:t>
            </w:r>
          </w:p>
          <w:p w14:paraId="65629D70" w14:textId="77777777" w:rsidR="002E3085" w:rsidRPr="00D1177A" w:rsidRDefault="002E3085" w:rsidP="00150FB2">
            <w:pPr>
              <w:jc w:val="center"/>
              <w:rPr>
                <w:rFonts w:cstheme="minorHAnsi"/>
                <w:b/>
              </w:rPr>
            </w:pPr>
            <w:r w:rsidRPr="00D1177A">
              <w:rPr>
                <w:rFonts w:cstheme="minorHAnsi"/>
                <w:b/>
              </w:rPr>
              <w:t>I</w:t>
            </w:r>
          </w:p>
        </w:tc>
      </w:tr>
      <w:tr w:rsidR="002E3085" w:rsidRPr="00D1177A" w14:paraId="0A7355E2" w14:textId="77777777" w:rsidTr="00150FB2">
        <w:tc>
          <w:tcPr>
            <w:tcW w:w="909" w:type="dxa"/>
          </w:tcPr>
          <w:p w14:paraId="693849D4" w14:textId="77777777" w:rsidR="002E3085" w:rsidRPr="00D1177A" w:rsidRDefault="002E3085" w:rsidP="00150FB2">
            <w:pPr>
              <w:jc w:val="center"/>
              <w:rPr>
                <w:rFonts w:cstheme="minorHAnsi"/>
                <w:b/>
              </w:rPr>
            </w:pPr>
            <w:r w:rsidRPr="00D1177A">
              <w:rPr>
                <w:rFonts w:cstheme="minorHAnsi"/>
                <w:b/>
              </w:rPr>
              <w:t>25%</w:t>
            </w:r>
          </w:p>
        </w:tc>
        <w:tc>
          <w:tcPr>
            <w:tcW w:w="901" w:type="dxa"/>
            <w:shd w:val="clear" w:color="auto" w:fill="ACB9CA" w:themeFill="text2" w:themeFillTint="66"/>
          </w:tcPr>
          <w:p w14:paraId="2F75443A" w14:textId="77777777" w:rsidR="002E3085" w:rsidRPr="00D1177A" w:rsidRDefault="002E3085" w:rsidP="00150FB2">
            <w:pPr>
              <w:jc w:val="center"/>
              <w:rPr>
                <w:rFonts w:cstheme="minorHAnsi"/>
                <w:b/>
              </w:rPr>
            </w:pPr>
            <w:r w:rsidRPr="00D1177A">
              <w:rPr>
                <w:rFonts w:cstheme="minorHAnsi"/>
                <w:b/>
              </w:rPr>
              <w:t>7</w:t>
            </w:r>
            <w:r>
              <w:rPr>
                <w:rFonts w:cstheme="minorHAnsi"/>
                <w:b/>
              </w:rPr>
              <w:t>38</w:t>
            </w:r>
          </w:p>
        </w:tc>
        <w:tc>
          <w:tcPr>
            <w:tcW w:w="900" w:type="dxa"/>
            <w:shd w:val="clear" w:color="auto" w:fill="ACB9CA" w:themeFill="text2" w:themeFillTint="66"/>
          </w:tcPr>
          <w:p w14:paraId="40C7225D" w14:textId="77777777" w:rsidR="002E3085" w:rsidRPr="00D1177A" w:rsidRDefault="002E3085" w:rsidP="00150FB2">
            <w:pPr>
              <w:jc w:val="center"/>
              <w:rPr>
                <w:rFonts w:cstheme="minorHAnsi"/>
                <w:b/>
              </w:rPr>
            </w:pPr>
            <w:r w:rsidRPr="00D1177A">
              <w:rPr>
                <w:rFonts w:cstheme="minorHAnsi"/>
                <w:b/>
              </w:rPr>
              <w:t>3</w:t>
            </w:r>
            <w:r>
              <w:rPr>
                <w:rFonts w:cstheme="minorHAnsi"/>
                <w:b/>
              </w:rPr>
              <w:t>67</w:t>
            </w:r>
          </w:p>
        </w:tc>
        <w:tc>
          <w:tcPr>
            <w:tcW w:w="900" w:type="dxa"/>
            <w:shd w:val="clear" w:color="auto" w:fill="ACB9CA" w:themeFill="text2" w:themeFillTint="66"/>
          </w:tcPr>
          <w:p w14:paraId="327E1397" w14:textId="77777777" w:rsidR="002E3085" w:rsidRPr="00D1177A" w:rsidRDefault="002E3085" w:rsidP="00150FB2">
            <w:pPr>
              <w:jc w:val="center"/>
              <w:rPr>
                <w:rFonts w:cstheme="minorHAnsi"/>
                <w:b/>
              </w:rPr>
            </w:pPr>
            <w:r>
              <w:rPr>
                <w:rFonts w:cstheme="minorHAnsi"/>
                <w:b/>
              </w:rPr>
              <w:t>61</w:t>
            </w:r>
          </w:p>
        </w:tc>
        <w:tc>
          <w:tcPr>
            <w:tcW w:w="901" w:type="dxa"/>
            <w:shd w:val="clear" w:color="auto" w:fill="92D050"/>
          </w:tcPr>
          <w:p w14:paraId="29C25E79" w14:textId="77777777" w:rsidR="002E3085" w:rsidRPr="00D1177A" w:rsidRDefault="002E3085" w:rsidP="00150FB2">
            <w:pPr>
              <w:jc w:val="center"/>
              <w:rPr>
                <w:rFonts w:cstheme="minorHAnsi"/>
                <w:b/>
              </w:rPr>
            </w:pPr>
            <w:r w:rsidRPr="00D1177A">
              <w:rPr>
                <w:rFonts w:cstheme="minorHAnsi"/>
                <w:b/>
              </w:rPr>
              <w:t>3</w:t>
            </w:r>
            <w:r>
              <w:rPr>
                <w:rFonts w:cstheme="minorHAnsi"/>
                <w:b/>
              </w:rPr>
              <w:t>1</w:t>
            </w:r>
          </w:p>
        </w:tc>
        <w:tc>
          <w:tcPr>
            <w:tcW w:w="901" w:type="dxa"/>
            <w:shd w:val="clear" w:color="auto" w:fill="ACB9CA" w:themeFill="text2" w:themeFillTint="66"/>
          </w:tcPr>
          <w:p w14:paraId="20AF20E6" w14:textId="77777777" w:rsidR="002E3085" w:rsidRPr="00D1177A" w:rsidRDefault="002E3085" w:rsidP="00150FB2">
            <w:pPr>
              <w:jc w:val="center"/>
              <w:rPr>
                <w:rFonts w:cstheme="minorHAnsi"/>
                <w:b/>
              </w:rPr>
            </w:pPr>
            <w:r>
              <w:rPr>
                <w:rFonts w:cstheme="minorHAnsi"/>
                <w:b/>
              </w:rPr>
              <w:t>20</w:t>
            </w:r>
          </w:p>
        </w:tc>
        <w:tc>
          <w:tcPr>
            <w:tcW w:w="901" w:type="dxa"/>
            <w:shd w:val="clear" w:color="auto" w:fill="ACB9CA" w:themeFill="text2" w:themeFillTint="66"/>
          </w:tcPr>
          <w:p w14:paraId="798DE254" w14:textId="77777777" w:rsidR="002E3085" w:rsidRPr="00D1177A" w:rsidRDefault="002E3085" w:rsidP="00150FB2">
            <w:pPr>
              <w:jc w:val="center"/>
              <w:rPr>
                <w:rFonts w:cstheme="minorHAnsi"/>
                <w:b/>
              </w:rPr>
            </w:pPr>
            <w:r w:rsidRPr="00D1177A">
              <w:rPr>
                <w:rFonts w:cstheme="minorHAnsi"/>
                <w:b/>
              </w:rPr>
              <w:t>4</w:t>
            </w:r>
          </w:p>
        </w:tc>
        <w:tc>
          <w:tcPr>
            <w:tcW w:w="901" w:type="dxa"/>
            <w:shd w:val="clear" w:color="auto" w:fill="ACB9CA" w:themeFill="text2" w:themeFillTint="66"/>
          </w:tcPr>
          <w:p w14:paraId="5330BB5B" w14:textId="77777777" w:rsidR="002E3085" w:rsidRPr="00D1177A" w:rsidRDefault="002E3085" w:rsidP="00150FB2">
            <w:pPr>
              <w:jc w:val="center"/>
              <w:rPr>
                <w:rFonts w:cstheme="minorHAnsi"/>
                <w:b/>
              </w:rPr>
            </w:pPr>
            <w:r>
              <w:rPr>
                <w:rFonts w:cstheme="minorHAnsi"/>
                <w:b/>
              </w:rPr>
              <w:t>2</w:t>
            </w:r>
          </w:p>
        </w:tc>
        <w:tc>
          <w:tcPr>
            <w:tcW w:w="901" w:type="dxa"/>
            <w:shd w:val="clear" w:color="auto" w:fill="ACB9CA" w:themeFill="text2" w:themeFillTint="66"/>
          </w:tcPr>
          <w:p w14:paraId="0F90823B" w14:textId="77777777" w:rsidR="002E3085" w:rsidRPr="00D1177A" w:rsidRDefault="002E3085" w:rsidP="00150FB2">
            <w:pPr>
              <w:jc w:val="center"/>
              <w:rPr>
                <w:rFonts w:cstheme="minorHAnsi"/>
                <w:b/>
              </w:rPr>
            </w:pPr>
            <w:r w:rsidRPr="00D1177A">
              <w:rPr>
                <w:rFonts w:cstheme="minorHAnsi"/>
                <w:b/>
              </w:rPr>
              <w:t>0</w:t>
            </w:r>
          </w:p>
        </w:tc>
        <w:tc>
          <w:tcPr>
            <w:tcW w:w="901" w:type="dxa"/>
            <w:shd w:val="clear" w:color="auto" w:fill="ACB9CA" w:themeFill="text2" w:themeFillTint="66"/>
          </w:tcPr>
          <w:p w14:paraId="35E0C1B0" w14:textId="77777777" w:rsidR="002E3085" w:rsidRPr="00D1177A" w:rsidRDefault="002E3085" w:rsidP="00150FB2">
            <w:pPr>
              <w:jc w:val="center"/>
              <w:rPr>
                <w:rFonts w:cstheme="minorHAnsi"/>
                <w:b/>
              </w:rPr>
            </w:pPr>
            <w:r w:rsidRPr="00D1177A">
              <w:rPr>
                <w:rFonts w:cstheme="minorHAnsi"/>
                <w:b/>
              </w:rPr>
              <w:t>0</w:t>
            </w:r>
          </w:p>
        </w:tc>
      </w:tr>
      <w:tr w:rsidR="002E3085" w:rsidRPr="00D1177A" w14:paraId="222BA30C" w14:textId="77777777" w:rsidTr="00150FB2">
        <w:tc>
          <w:tcPr>
            <w:tcW w:w="909" w:type="dxa"/>
          </w:tcPr>
          <w:p w14:paraId="05B26385" w14:textId="77777777" w:rsidR="002E3085" w:rsidRPr="00D1177A" w:rsidRDefault="002E3085" w:rsidP="00150FB2">
            <w:pPr>
              <w:jc w:val="center"/>
              <w:rPr>
                <w:rFonts w:cstheme="minorHAnsi"/>
                <w:b/>
              </w:rPr>
            </w:pPr>
            <w:r w:rsidRPr="00D1177A">
              <w:rPr>
                <w:rFonts w:cstheme="minorHAnsi"/>
                <w:b/>
              </w:rPr>
              <w:t>50%</w:t>
            </w:r>
          </w:p>
        </w:tc>
        <w:tc>
          <w:tcPr>
            <w:tcW w:w="901" w:type="dxa"/>
            <w:shd w:val="clear" w:color="auto" w:fill="ACB9CA" w:themeFill="text2" w:themeFillTint="66"/>
          </w:tcPr>
          <w:p w14:paraId="27A0A36F" w14:textId="77777777" w:rsidR="002E3085" w:rsidRPr="00D1177A" w:rsidRDefault="002E3085" w:rsidP="00150FB2">
            <w:pPr>
              <w:jc w:val="center"/>
              <w:rPr>
                <w:rFonts w:cstheme="minorHAnsi"/>
                <w:b/>
              </w:rPr>
            </w:pPr>
            <w:r>
              <w:rPr>
                <w:rFonts w:cstheme="minorHAnsi"/>
                <w:b/>
              </w:rPr>
              <w:t>1</w:t>
            </w:r>
          </w:p>
        </w:tc>
        <w:tc>
          <w:tcPr>
            <w:tcW w:w="900" w:type="dxa"/>
            <w:shd w:val="clear" w:color="auto" w:fill="ACB9CA" w:themeFill="text2" w:themeFillTint="66"/>
          </w:tcPr>
          <w:p w14:paraId="58AAA30D" w14:textId="77777777" w:rsidR="002E3085" w:rsidRPr="00D1177A" w:rsidRDefault="002E3085" w:rsidP="00150FB2">
            <w:pPr>
              <w:jc w:val="center"/>
              <w:rPr>
                <w:rFonts w:cstheme="minorHAnsi"/>
                <w:b/>
              </w:rPr>
            </w:pPr>
            <w:r>
              <w:rPr>
                <w:rFonts w:cstheme="minorHAnsi"/>
                <w:b/>
              </w:rPr>
              <w:t>0</w:t>
            </w:r>
          </w:p>
        </w:tc>
        <w:tc>
          <w:tcPr>
            <w:tcW w:w="900" w:type="dxa"/>
            <w:shd w:val="clear" w:color="auto" w:fill="ACB9CA" w:themeFill="text2" w:themeFillTint="66"/>
          </w:tcPr>
          <w:p w14:paraId="253E1FBD" w14:textId="77777777" w:rsidR="002E3085" w:rsidRPr="00D1177A" w:rsidRDefault="002E3085" w:rsidP="00150FB2">
            <w:pPr>
              <w:jc w:val="center"/>
              <w:rPr>
                <w:rFonts w:cstheme="minorHAnsi"/>
                <w:b/>
              </w:rPr>
            </w:pPr>
            <w:r w:rsidRPr="00D1177A">
              <w:rPr>
                <w:rFonts w:cstheme="minorHAnsi"/>
                <w:b/>
              </w:rPr>
              <w:t>0</w:t>
            </w:r>
          </w:p>
        </w:tc>
        <w:tc>
          <w:tcPr>
            <w:tcW w:w="901" w:type="dxa"/>
            <w:shd w:val="clear" w:color="auto" w:fill="92D050"/>
          </w:tcPr>
          <w:p w14:paraId="5B544C5B" w14:textId="77777777" w:rsidR="002E3085" w:rsidRPr="00D1177A" w:rsidRDefault="002E3085" w:rsidP="00150FB2">
            <w:pPr>
              <w:jc w:val="center"/>
              <w:rPr>
                <w:rFonts w:cstheme="minorHAnsi"/>
                <w:b/>
              </w:rPr>
            </w:pPr>
            <w:r w:rsidRPr="00D1177A">
              <w:rPr>
                <w:rFonts w:cstheme="minorHAnsi"/>
                <w:b/>
              </w:rPr>
              <w:t>2</w:t>
            </w:r>
          </w:p>
        </w:tc>
        <w:tc>
          <w:tcPr>
            <w:tcW w:w="901" w:type="dxa"/>
            <w:shd w:val="clear" w:color="auto" w:fill="ACB9CA" w:themeFill="text2" w:themeFillTint="66"/>
          </w:tcPr>
          <w:p w14:paraId="4C022FD3" w14:textId="77777777" w:rsidR="002E3085" w:rsidRPr="00D1177A" w:rsidRDefault="002E3085" w:rsidP="00150FB2">
            <w:pPr>
              <w:jc w:val="center"/>
              <w:rPr>
                <w:rFonts w:cstheme="minorHAnsi"/>
                <w:b/>
              </w:rPr>
            </w:pPr>
            <w:r w:rsidRPr="00D1177A">
              <w:rPr>
                <w:rFonts w:cstheme="minorHAnsi"/>
                <w:b/>
              </w:rPr>
              <w:t>1</w:t>
            </w:r>
          </w:p>
        </w:tc>
        <w:tc>
          <w:tcPr>
            <w:tcW w:w="901" w:type="dxa"/>
            <w:shd w:val="clear" w:color="auto" w:fill="ACB9CA" w:themeFill="text2" w:themeFillTint="66"/>
          </w:tcPr>
          <w:p w14:paraId="0AF199A8" w14:textId="77777777" w:rsidR="002E3085" w:rsidRPr="00D1177A" w:rsidRDefault="002E3085" w:rsidP="00150FB2">
            <w:pPr>
              <w:jc w:val="center"/>
              <w:rPr>
                <w:rFonts w:cstheme="minorHAnsi"/>
                <w:b/>
              </w:rPr>
            </w:pPr>
            <w:r w:rsidRPr="00D1177A">
              <w:rPr>
                <w:rFonts w:cstheme="minorHAnsi"/>
                <w:b/>
              </w:rPr>
              <w:t>0</w:t>
            </w:r>
          </w:p>
        </w:tc>
        <w:tc>
          <w:tcPr>
            <w:tcW w:w="901" w:type="dxa"/>
            <w:shd w:val="clear" w:color="auto" w:fill="ACB9CA" w:themeFill="text2" w:themeFillTint="66"/>
          </w:tcPr>
          <w:p w14:paraId="71A07A00" w14:textId="77777777" w:rsidR="002E3085" w:rsidRPr="00D1177A" w:rsidRDefault="002E3085" w:rsidP="00150FB2">
            <w:pPr>
              <w:jc w:val="center"/>
              <w:rPr>
                <w:rFonts w:cstheme="minorHAnsi"/>
                <w:b/>
              </w:rPr>
            </w:pPr>
            <w:r w:rsidRPr="00D1177A">
              <w:rPr>
                <w:rFonts w:cstheme="minorHAnsi"/>
                <w:b/>
              </w:rPr>
              <w:t>0</w:t>
            </w:r>
          </w:p>
        </w:tc>
        <w:tc>
          <w:tcPr>
            <w:tcW w:w="901" w:type="dxa"/>
            <w:shd w:val="clear" w:color="auto" w:fill="ACB9CA" w:themeFill="text2" w:themeFillTint="66"/>
          </w:tcPr>
          <w:p w14:paraId="34754624" w14:textId="77777777" w:rsidR="002E3085" w:rsidRPr="00D1177A" w:rsidRDefault="002E3085" w:rsidP="00150FB2">
            <w:pPr>
              <w:jc w:val="center"/>
              <w:rPr>
                <w:rFonts w:cstheme="minorHAnsi"/>
                <w:b/>
              </w:rPr>
            </w:pPr>
            <w:r>
              <w:rPr>
                <w:rFonts w:cstheme="minorHAnsi"/>
                <w:b/>
              </w:rPr>
              <w:t>0</w:t>
            </w:r>
          </w:p>
        </w:tc>
        <w:tc>
          <w:tcPr>
            <w:tcW w:w="901" w:type="dxa"/>
            <w:shd w:val="clear" w:color="auto" w:fill="ACB9CA" w:themeFill="text2" w:themeFillTint="66"/>
          </w:tcPr>
          <w:p w14:paraId="12109B89" w14:textId="77777777" w:rsidR="002E3085" w:rsidRPr="00D1177A" w:rsidRDefault="002E3085" w:rsidP="00150FB2">
            <w:pPr>
              <w:jc w:val="center"/>
              <w:rPr>
                <w:rFonts w:cstheme="minorHAnsi"/>
                <w:b/>
              </w:rPr>
            </w:pPr>
            <w:r w:rsidRPr="00D1177A">
              <w:rPr>
                <w:rFonts w:cstheme="minorHAnsi"/>
                <w:b/>
              </w:rPr>
              <w:t>0</w:t>
            </w:r>
          </w:p>
        </w:tc>
      </w:tr>
      <w:tr w:rsidR="002E3085" w:rsidRPr="00D1177A" w14:paraId="0713B262" w14:textId="77777777" w:rsidTr="00150FB2">
        <w:tc>
          <w:tcPr>
            <w:tcW w:w="909" w:type="dxa"/>
          </w:tcPr>
          <w:p w14:paraId="7F1AD9C0" w14:textId="77777777" w:rsidR="002E3085" w:rsidRPr="00D1177A" w:rsidRDefault="002E3085" w:rsidP="00150FB2">
            <w:pPr>
              <w:jc w:val="center"/>
              <w:rPr>
                <w:rFonts w:cstheme="minorHAnsi"/>
                <w:b/>
              </w:rPr>
            </w:pPr>
            <w:r w:rsidRPr="00D1177A">
              <w:rPr>
                <w:rFonts w:cstheme="minorHAnsi"/>
                <w:b/>
              </w:rPr>
              <w:t>Total</w:t>
            </w:r>
          </w:p>
        </w:tc>
        <w:tc>
          <w:tcPr>
            <w:tcW w:w="901" w:type="dxa"/>
            <w:shd w:val="clear" w:color="auto" w:fill="ACB9CA" w:themeFill="text2" w:themeFillTint="66"/>
          </w:tcPr>
          <w:p w14:paraId="44208526" w14:textId="77777777" w:rsidR="002E3085" w:rsidRPr="00D1177A" w:rsidRDefault="002E3085" w:rsidP="00150FB2">
            <w:pPr>
              <w:jc w:val="center"/>
              <w:rPr>
                <w:rFonts w:cstheme="minorHAnsi"/>
                <w:b/>
              </w:rPr>
            </w:pPr>
            <w:r w:rsidRPr="00D1177A">
              <w:rPr>
                <w:rFonts w:cstheme="minorHAnsi"/>
                <w:b/>
              </w:rPr>
              <w:t>7</w:t>
            </w:r>
            <w:r>
              <w:rPr>
                <w:rFonts w:cstheme="minorHAnsi"/>
                <w:b/>
              </w:rPr>
              <w:t>39</w:t>
            </w:r>
          </w:p>
        </w:tc>
        <w:tc>
          <w:tcPr>
            <w:tcW w:w="900" w:type="dxa"/>
            <w:shd w:val="clear" w:color="auto" w:fill="ACB9CA" w:themeFill="text2" w:themeFillTint="66"/>
          </w:tcPr>
          <w:p w14:paraId="2EA0D9F3" w14:textId="77777777" w:rsidR="002E3085" w:rsidRPr="00D1177A" w:rsidRDefault="002E3085" w:rsidP="00150FB2">
            <w:pPr>
              <w:jc w:val="center"/>
              <w:rPr>
                <w:rFonts w:cstheme="minorHAnsi"/>
                <w:b/>
              </w:rPr>
            </w:pPr>
            <w:r w:rsidRPr="00D1177A">
              <w:rPr>
                <w:rFonts w:cstheme="minorHAnsi"/>
                <w:b/>
              </w:rPr>
              <w:t>3</w:t>
            </w:r>
            <w:r>
              <w:rPr>
                <w:rFonts w:cstheme="minorHAnsi"/>
                <w:b/>
              </w:rPr>
              <w:t>67</w:t>
            </w:r>
          </w:p>
        </w:tc>
        <w:tc>
          <w:tcPr>
            <w:tcW w:w="900" w:type="dxa"/>
            <w:shd w:val="clear" w:color="auto" w:fill="ACB9CA" w:themeFill="text2" w:themeFillTint="66"/>
          </w:tcPr>
          <w:p w14:paraId="6BD5FC44" w14:textId="77777777" w:rsidR="002E3085" w:rsidRPr="00D1177A" w:rsidRDefault="002E3085" w:rsidP="00150FB2">
            <w:pPr>
              <w:jc w:val="center"/>
              <w:rPr>
                <w:rFonts w:cstheme="minorHAnsi"/>
                <w:b/>
              </w:rPr>
            </w:pPr>
            <w:r>
              <w:rPr>
                <w:rFonts w:cstheme="minorHAnsi"/>
                <w:b/>
              </w:rPr>
              <w:t>61</w:t>
            </w:r>
          </w:p>
        </w:tc>
        <w:tc>
          <w:tcPr>
            <w:tcW w:w="901" w:type="dxa"/>
            <w:shd w:val="clear" w:color="auto" w:fill="92D050"/>
          </w:tcPr>
          <w:p w14:paraId="0B3BB75D" w14:textId="77777777" w:rsidR="002E3085" w:rsidRPr="00D1177A" w:rsidRDefault="002E3085" w:rsidP="00150FB2">
            <w:pPr>
              <w:jc w:val="center"/>
              <w:rPr>
                <w:rFonts w:cstheme="minorHAnsi"/>
                <w:b/>
              </w:rPr>
            </w:pPr>
            <w:r w:rsidRPr="00D1177A">
              <w:rPr>
                <w:rFonts w:cstheme="minorHAnsi"/>
                <w:b/>
              </w:rPr>
              <w:t>3</w:t>
            </w:r>
            <w:r>
              <w:rPr>
                <w:rFonts w:cstheme="minorHAnsi"/>
                <w:b/>
              </w:rPr>
              <w:t>3</w:t>
            </w:r>
          </w:p>
        </w:tc>
        <w:tc>
          <w:tcPr>
            <w:tcW w:w="901" w:type="dxa"/>
            <w:shd w:val="clear" w:color="auto" w:fill="ACB9CA" w:themeFill="text2" w:themeFillTint="66"/>
          </w:tcPr>
          <w:p w14:paraId="0CF62B9A" w14:textId="77777777" w:rsidR="002E3085" w:rsidRPr="00D1177A" w:rsidRDefault="002E3085" w:rsidP="00150FB2">
            <w:pPr>
              <w:jc w:val="center"/>
              <w:rPr>
                <w:rFonts w:cstheme="minorHAnsi"/>
                <w:b/>
              </w:rPr>
            </w:pPr>
            <w:r>
              <w:rPr>
                <w:rFonts w:cstheme="minorHAnsi"/>
                <w:b/>
              </w:rPr>
              <w:t>21</w:t>
            </w:r>
          </w:p>
        </w:tc>
        <w:tc>
          <w:tcPr>
            <w:tcW w:w="901" w:type="dxa"/>
            <w:shd w:val="clear" w:color="auto" w:fill="ACB9CA" w:themeFill="text2" w:themeFillTint="66"/>
          </w:tcPr>
          <w:p w14:paraId="5AF36AFE" w14:textId="77777777" w:rsidR="002E3085" w:rsidRPr="00D1177A" w:rsidRDefault="002E3085" w:rsidP="00150FB2">
            <w:pPr>
              <w:jc w:val="center"/>
              <w:rPr>
                <w:rFonts w:cstheme="minorHAnsi"/>
                <w:b/>
              </w:rPr>
            </w:pPr>
            <w:r w:rsidRPr="00D1177A">
              <w:rPr>
                <w:rFonts w:cstheme="minorHAnsi"/>
                <w:b/>
              </w:rPr>
              <w:t>4</w:t>
            </w:r>
          </w:p>
        </w:tc>
        <w:tc>
          <w:tcPr>
            <w:tcW w:w="901" w:type="dxa"/>
            <w:shd w:val="clear" w:color="auto" w:fill="ACB9CA" w:themeFill="text2" w:themeFillTint="66"/>
          </w:tcPr>
          <w:p w14:paraId="475C6704" w14:textId="77777777" w:rsidR="002E3085" w:rsidRPr="00D1177A" w:rsidRDefault="002E3085" w:rsidP="00150FB2">
            <w:pPr>
              <w:jc w:val="center"/>
              <w:rPr>
                <w:rFonts w:cstheme="minorHAnsi"/>
                <w:b/>
              </w:rPr>
            </w:pPr>
            <w:r>
              <w:rPr>
                <w:rFonts w:cstheme="minorHAnsi"/>
                <w:b/>
              </w:rPr>
              <w:t>2</w:t>
            </w:r>
          </w:p>
        </w:tc>
        <w:tc>
          <w:tcPr>
            <w:tcW w:w="901" w:type="dxa"/>
            <w:shd w:val="clear" w:color="auto" w:fill="ACB9CA" w:themeFill="text2" w:themeFillTint="66"/>
          </w:tcPr>
          <w:p w14:paraId="3EE8EF00" w14:textId="77777777" w:rsidR="002E3085" w:rsidRPr="00D1177A" w:rsidRDefault="002E3085" w:rsidP="00150FB2">
            <w:pPr>
              <w:jc w:val="center"/>
              <w:rPr>
                <w:rFonts w:cstheme="minorHAnsi"/>
                <w:b/>
              </w:rPr>
            </w:pPr>
            <w:r>
              <w:rPr>
                <w:rFonts w:cstheme="minorHAnsi"/>
                <w:b/>
              </w:rPr>
              <w:t>0</w:t>
            </w:r>
          </w:p>
        </w:tc>
        <w:tc>
          <w:tcPr>
            <w:tcW w:w="901" w:type="dxa"/>
            <w:shd w:val="clear" w:color="auto" w:fill="ACB9CA" w:themeFill="text2" w:themeFillTint="66"/>
          </w:tcPr>
          <w:p w14:paraId="0925B815" w14:textId="77777777" w:rsidR="002E3085" w:rsidRPr="00D1177A" w:rsidRDefault="002E3085" w:rsidP="00150FB2">
            <w:pPr>
              <w:jc w:val="center"/>
              <w:rPr>
                <w:rFonts w:cstheme="minorHAnsi"/>
                <w:b/>
              </w:rPr>
            </w:pPr>
            <w:r w:rsidRPr="00D1177A">
              <w:rPr>
                <w:rFonts w:cstheme="minorHAnsi"/>
                <w:b/>
              </w:rPr>
              <w:t>0</w:t>
            </w:r>
          </w:p>
        </w:tc>
      </w:tr>
    </w:tbl>
    <w:p w14:paraId="19AF0849" w14:textId="77777777" w:rsidR="002E3085" w:rsidRDefault="002E3085" w:rsidP="002E3085">
      <w:pPr>
        <w:rPr>
          <w:rFonts w:cstheme="minorHAnsi"/>
        </w:rPr>
      </w:pPr>
    </w:p>
    <w:p w14:paraId="563A0EAE" w14:textId="77777777" w:rsidR="008C7263" w:rsidRDefault="008C7263" w:rsidP="008C7263">
      <w:pPr>
        <w:rPr>
          <w:rFonts w:cstheme="minorHAnsi"/>
        </w:rPr>
      </w:pPr>
      <w:r w:rsidRPr="00D1177A">
        <w:rPr>
          <w:rFonts w:cstheme="minorHAnsi"/>
        </w:rPr>
        <w:t>The precept breakdown based on £</w:t>
      </w:r>
      <w:r w:rsidRPr="00D1177A">
        <w:rPr>
          <w:rFonts w:cstheme="minorHAnsi"/>
          <w:b/>
        </w:rPr>
        <w:t>1</w:t>
      </w:r>
      <w:r>
        <w:rPr>
          <w:rFonts w:cstheme="minorHAnsi"/>
          <w:b/>
        </w:rPr>
        <w:t>85</w:t>
      </w:r>
      <w:r w:rsidRPr="00D1177A">
        <w:rPr>
          <w:rFonts w:cstheme="minorHAnsi"/>
          <w:b/>
        </w:rPr>
        <w:t>,000</w:t>
      </w:r>
      <w:r w:rsidRPr="00D1177A">
        <w:rPr>
          <w:rFonts w:cstheme="minorHAnsi"/>
        </w:rPr>
        <w:t xml:space="preserve"> for 20</w:t>
      </w:r>
      <w:r>
        <w:rPr>
          <w:rFonts w:cstheme="minorHAnsi"/>
        </w:rPr>
        <w:t>22</w:t>
      </w:r>
      <w:r w:rsidRPr="00D1177A">
        <w:rPr>
          <w:rFonts w:cstheme="minorHAnsi"/>
        </w:rPr>
        <w:t>/2</w:t>
      </w:r>
      <w:r>
        <w:rPr>
          <w:rFonts w:cstheme="minorHAnsi"/>
        </w:rPr>
        <w:t>3</w:t>
      </w:r>
      <w:r w:rsidRPr="00D1177A">
        <w:rPr>
          <w:rFonts w:cstheme="minorHAnsi"/>
        </w:rPr>
        <w:t xml:space="preserve"> </w:t>
      </w:r>
      <w:r>
        <w:rPr>
          <w:rFonts w:cstheme="minorHAnsi"/>
        </w:rPr>
        <w:t>is</w:t>
      </w:r>
      <w:r w:rsidRPr="00D1177A">
        <w:rPr>
          <w:rFonts w:cstheme="minorHAnsi"/>
        </w:rPr>
        <w:t xml:space="preserve"> as follows:</w:t>
      </w:r>
    </w:p>
    <w:tbl>
      <w:tblPr>
        <w:tblStyle w:val="TableGrid"/>
        <w:tblW w:w="0" w:type="auto"/>
        <w:tblLook w:val="04A0" w:firstRow="1" w:lastRow="0" w:firstColumn="1" w:lastColumn="0" w:noHBand="0" w:noVBand="1"/>
      </w:tblPr>
      <w:tblGrid>
        <w:gridCol w:w="920"/>
        <w:gridCol w:w="844"/>
        <w:gridCol w:w="844"/>
        <w:gridCol w:w="844"/>
        <w:gridCol w:w="844"/>
        <w:gridCol w:w="944"/>
        <w:gridCol w:w="944"/>
        <w:gridCol w:w="944"/>
        <w:gridCol w:w="944"/>
        <w:gridCol w:w="944"/>
      </w:tblGrid>
      <w:tr w:rsidR="008C7263" w:rsidRPr="00D1177A" w14:paraId="1B7EC672" w14:textId="77777777" w:rsidTr="00150FB2">
        <w:tc>
          <w:tcPr>
            <w:tcW w:w="921" w:type="dxa"/>
          </w:tcPr>
          <w:p w14:paraId="0C521137" w14:textId="77777777" w:rsidR="008C7263" w:rsidRPr="00D1177A" w:rsidRDefault="008C7263" w:rsidP="00150FB2">
            <w:pPr>
              <w:jc w:val="center"/>
              <w:rPr>
                <w:rFonts w:cstheme="minorHAnsi"/>
                <w:b/>
              </w:rPr>
            </w:pPr>
            <w:r w:rsidRPr="00D1177A">
              <w:rPr>
                <w:rFonts w:cstheme="minorHAnsi"/>
                <w:b/>
              </w:rPr>
              <w:t>Precept Cost - £</w:t>
            </w:r>
          </w:p>
        </w:tc>
        <w:tc>
          <w:tcPr>
            <w:tcW w:w="895" w:type="dxa"/>
          </w:tcPr>
          <w:p w14:paraId="436B22F4" w14:textId="77777777" w:rsidR="008C7263" w:rsidRPr="00D1177A" w:rsidRDefault="008C7263" w:rsidP="00150FB2">
            <w:pPr>
              <w:rPr>
                <w:rFonts w:cstheme="minorHAnsi"/>
                <w:b/>
              </w:rPr>
            </w:pPr>
            <w:r w:rsidRPr="00D1177A">
              <w:rPr>
                <w:rFonts w:cstheme="minorHAnsi"/>
                <w:b/>
              </w:rPr>
              <w:t>Band A</w:t>
            </w:r>
          </w:p>
        </w:tc>
        <w:tc>
          <w:tcPr>
            <w:tcW w:w="893" w:type="dxa"/>
          </w:tcPr>
          <w:p w14:paraId="0028B86C" w14:textId="77777777" w:rsidR="008C7263" w:rsidRPr="00D1177A" w:rsidRDefault="008C7263" w:rsidP="00150FB2">
            <w:pPr>
              <w:rPr>
                <w:rFonts w:cstheme="minorHAnsi"/>
                <w:b/>
              </w:rPr>
            </w:pPr>
            <w:r w:rsidRPr="00D1177A">
              <w:rPr>
                <w:rFonts w:cstheme="minorHAnsi"/>
                <w:b/>
              </w:rPr>
              <w:t>Band B</w:t>
            </w:r>
          </w:p>
        </w:tc>
        <w:tc>
          <w:tcPr>
            <w:tcW w:w="893" w:type="dxa"/>
          </w:tcPr>
          <w:p w14:paraId="3537A92E" w14:textId="77777777" w:rsidR="008C7263" w:rsidRPr="00D1177A" w:rsidRDefault="008C7263" w:rsidP="00150FB2">
            <w:pPr>
              <w:rPr>
                <w:rFonts w:cstheme="minorHAnsi"/>
                <w:b/>
              </w:rPr>
            </w:pPr>
            <w:r w:rsidRPr="00D1177A">
              <w:rPr>
                <w:rFonts w:cstheme="minorHAnsi"/>
                <w:b/>
              </w:rPr>
              <w:t>Band C</w:t>
            </w:r>
          </w:p>
        </w:tc>
        <w:tc>
          <w:tcPr>
            <w:tcW w:w="894" w:type="dxa"/>
            <w:shd w:val="clear" w:color="auto" w:fill="92D050"/>
          </w:tcPr>
          <w:p w14:paraId="3362080E" w14:textId="77777777" w:rsidR="008C7263" w:rsidRPr="00D1177A" w:rsidRDefault="008C7263" w:rsidP="00150FB2">
            <w:pPr>
              <w:rPr>
                <w:rFonts w:cstheme="minorHAnsi"/>
                <w:b/>
              </w:rPr>
            </w:pPr>
            <w:r w:rsidRPr="00D1177A">
              <w:rPr>
                <w:rFonts w:cstheme="minorHAnsi"/>
                <w:b/>
              </w:rPr>
              <w:t>Band D</w:t>
            </w:r>
          </w:p>
        </w:tc>
        <w:tc>
          <w:tcPr>
            <w:tcW w:w="894" w:type="dxa"/>
          </w:tcPr>
          <w:p w14:paraId="52DBC7BE" w14:textId="77777777" w:rsidR="008C7263" w:rsidRPr="00D1177A" w:rsidRDefault="008C7263" w:rsidP="00150FB2">
            <w:pPr>
              <w:rPr>
                <w:rFonts w:cstheme="minorHAnsi"/>
                <w:b/>
              </w:rPr>
            </w:pPr>
            <w:r w:rsidRPr="00D1177A">
              <w:rPr>
                <w:rFonts w:cstheme="minorHAnsi"/>
                <w:b/>
              </w:rPr>
              <w:t xml:space="preserve">Band E </w:t>
            </w:r>
          </w:p>
        </w:tc>
        <w:tc>
          <w:tcPr>
            <w:tcW w:w="894" w:type="dxa"/>
          </w:tcPr>
          <w:p w14:paraId="548AA8E0" w14:textId="77777777" w:rsidR="008C7263" w:rsidRPr="00D1177A" w:rsidRDefault="008C7263" w:rsidP="00150FB2">
            <w:pPr>
              <w:rPr>
                <w:rFonts w:cstheme="minorHAnsi"/>
                <w:b/>
              </w:rPr>
            </w:pPr>
            <w:r w:rsidRPr="00D1177A">
              <w:rPr>
                <w:rFonts w:cstheme="minorHAnsi"/>
                <w:b/>
              </w:rPr>
              <w:t>Band F</w:t>
            </w:r>
          </w:p>
        </w:tc>
        <w:tc>
          <w:tcPr>
            <w:tcW w:w="894" w:type="dxa"/>
          </w:tcPr>
          <w:p w14:paraId="667D85F2" w14:textId="77777777" w:rsidR="008C7263" w:rsidRPr="00D1177A" w:rsidRDefault="008C7263" w:rsidP="00150FB2">
            <w:pPr>
              <w:rPr>
                <w:rFonts w:cstheme="minorHAnsi"/>
                <w:b/>
              </w:rPr>
            </w:pPr>
            <w:r w:rsidRPr="00D1177A">
              <w:rPr>
                <w:rFonts w:cstheme="minorHAnsi"/>
                <w:b/>
              </w:rPr>
              <w:t xml:space="preserve">Band G </w:t>
            </w:r>
          </w:p>
        </w:tc>
        <w:tc>
          <w:tcPr>
            <w:tcW w:w="894" w:type="dxa"/>
          </w:tcPr>
          <w:p w14:paraId="78887651" w14:textId="77777777" w:rsidR="008C7263" w:rsidRPr="00D1177A" w:rsidRDefault="008C7263" w:rsidP="00150FB2">
            <w:pPr>
              <w:rPr>
                <w:rFonts w:cstheme="minorHAnsi"/>
                <w:b/>
              </w:rPr>
            </w:pPr>
            <w:r w:rsidRPr="00D1177A">
              <w:rPr>
                <w:rFonts w:cstheme="minorHAnsi"/>
                <w:b/>
              </w:rPr>
              <w:t xml:space="preserve">Band H </w:t>
            </w:r>
          </w:p>
        </w:tc>
        <w:tc>
          <w:tcPr>
            <w:tcW w:w="944" w:type="dxa"/>
          </w:tcPr>
          <w:p w14:paraId="263006BA" w14:textId="77777777" w:rsidR="008C7263" w:rsidRPr="00D1177A" w:rsidRDefault="008C7263" w:rsidP="00150FB2">
            <w:pPr>
              <w:rPr>
                <w:rFonts w:cstheme="minorHAnsi"/>
                <w:b/>
              </w:rPr>
            </w:pPr>
            <w:r w:rsidRPr="00D1177A">
              <w:rPr>
                <w:rFonts w:cstheme="minorHAnsi"/>
                <w:b/>
              </w:rPr>
              <w:t>Band I</w:t>
            </w:r>
          </w:p>
        </w:tc>
      </w:tr>
      <w:tr w:rsidR="008C7263" w:rsidRPr="00D1177A" w14:paraId="5AD9997C" w14:textId="77777777" w:rsidTr="00150FB2">
        <w:tc>
          <w:tcPr>
            <w:tcW w:w="921" w:type="dxa"/>
          </w:tcPr>
          <w:p w14:paraId="698FB1B8" w14:textId="77777777" w:rsidR="008C7263" w:rsidRPr="00D1177A" w:rsidRDefault="008C7263" w:rsidP="00150FB2">
            <w:pPr>
              <w:rPr>
                <w:rFonts w:cstheme="minorHAnsi"/>
                <w:b/>
              </w:rPr>
            </w:pPr>
            <w:r w:rsidRPr="00D1177A">
              <w:rPr>
                <w:rFonts w:cstheme="minorHAnsi"/>
                <w:b/>
              </w:rPr>
              <w:t>Year</w:t>
            </w:r>
          </w:p>
        </w:tc>
        <w:tc>
          <w:tcPr>
            <w:tcW w:w="895" w:type="dxa"/>
            <w:shd w:val="clear" w:color="auto" w:fill="ACB9CA" w:themeFill="text2" w:themeFillTint="66"/>
          </w:tcPr>
          <w:p w14:paraId="48A1C36C" w14:textId="77777777" w:rsidR="008C7263" w:rsidRPr="00D1177A" w:rsidRDefault="008C7263" w:rsidP="00150FB2">
            <w:pPr>
              <w:rPr>
                <w:rFonts w:cstheme="minorHAnsi"/>
                <w:b/>
              </w:rPr>
            </w:pPr>
            <w:r w:rsidRPr="00D1177A">
              <w:rPr>
                <w:rFonts w:cstheme="minorHAnsi"/>
                <w:b/>
              </w:rPr>
              <w:t>£</w:t>
            </w:r>
            <w:r>
              <w:rPr>
                <w:rFonts w:cstheme="minorHAnsi"/>
                <w:b/>
              </w:rPr>
              <w:t>64.13</w:t>
            </w:r>
          </w:p>
        </w:tc>
        <w:tc>
          <w:tcPr>
            <w:tcW w:w="893" w:type="dxa"/>
            <w:shd w:val="clear" w:color="auto" w:fill="ACB9CA" w:themeFill="text2" w:themeFillTint="66"/>
          </w:tcPr>
          <w:p w14:paraId="00D2EF70" w14:textId="77777777" w:rsidR="008C7263" w:rsidRPr="00D1177A" w:rsidRDefault="008C7263" w:rsidP="00150FB2">
            <w:pPr>
              <w:rPr>
                <w:rFonts w:cstheme="minorHAnsi"/>
                <w:b/>
              </w:rPr>
            </w:pPr>
            <w:r w:rsidRPr="00D1177A">
              <w:rPr>
                <w:rFonts w:cstheme="minorHAnsi"/>
                <w:b/>
              </w:rPr>
              <w:t>£</w:t>
            </w:r>
            <w:r>
              <w:rPr>
                <w:rFonts w:cstheme="minorHAnsi"/>
                <w:b/>
              </w:rPr>
              <w:t>74.82</w:t>
            </w:r>
          </w:p>
        </w:tc>
        <w:tc>
          <w:tcPr>
            <w:tcW w:w="893" w:type="dxa"/>
            <w:shd w:val="clear" w:color="auto" w:fill="ACB9CA" w:themeFill="text2" w:themeFillTint="66"/>
          </w:tcPr>
          <w:p w14:paraId="37385010" w14:textId="77777777" w:rsidR="008C7263" w:rsidRPr="00D1177A" w:rsidRDefault="008C7263" w:rsidP="00150FB2">
            <w:pPr>
              <w:rPr>
                <w:rFonts w:cstheme="minorHAnsi"/>
                <w:b/>
              </w:rPr>
            </w:pPr>
            <w:r w:rsidRPr="00D1177A">
              <w:rPr>
                <w:rFonts w:cstheme="minorHAnsi"/>
                <w:b/>
              </w:rPr>
              <w:t>£</w:t>
            </w:r>
            <w:r>
              <w:rPr>
                <w:rFonts w:cstheme="minorHAnsi"/>
                <w:b/>
              </w:rPr>
              <w:t>85.28</w:t>
            </w:r>
          </w:p>
        </w:tc>
        <w:tc>
          <w:tcPr>
            <w:tcW w:w="894" w:type="dxa"/>
            <w:shd w:val="clear" w:color="auto" w:fill="92D050"/>
          </w:tcPr>
          <w:p w14:paraId="06644E62" w14:textId="77777777" w:rsidR="008C7263" w:rsidRPr="00D1177A" w:rsidRDefault="008C7263" w:rsidP="00150FB2">
            <w:pPr>
              <w:rPr>
                <w:rFonts w:cstheme="minorHAnsi"/>
                <w:b/>
              </w:rPr>
            </w:pPr>
            <w:r w:rsidRPr="00D1177A">
              <w:rPr>
                <w:rFonts w:cstheme="minorHAnsi"/>
                <w:b/>
              </w:rPr>
              <w:t>£</w:t>
            </w:r>
            <w:r>
              <w:rPr>
                <w:rFonts w:cstheme="minorHAnsi"/>
                <w:b/>
              </w:rPr>
              <w:t>94.24</w:t>
            </w:r>
          </w:p>
        </w:tc>
        <w:tc>
          <w:tcPr>
            <w:tcW w:w="894" w:type="dxa"/>
            <w:shd w:val="clear" w:color="auto" w:fill="ACB9CA" w:themeFill="text2" w:themeFillTint="66"/>
          </w:tcPr>
          <w:p w14:paraId="511FB900" w14:textId="77777777" w:rsidR="008C7263" w:rsidRPr="00D1177A" w:rsidRDefault="008C7263" w:rsidP="00150FB2">
            <w:pPr>
              <w:rPr>
                <w:rFonts w:cstheme="minorHAnsi"/>
                <w:b/>
              </w:rPr>
            </w:pPr>
            <w:r w:rsidRPr="00D1177A">
              <w:rPr>
                <w:rFonts w:cstheme="minorHAnsi"/>
                <w:b/>
              </w:rPr>
              <w:t>£</w:t>
            </w:r>
            <w:r>
              <w:rPr>
                <w:rFonts w:cstheme="minorHAnsi"/>
                <w:b/>
              </w:rPr>
              <w:t>117.00</w:t>
            </w:r>
          </w:p>
        </w:tc>
        <w:tc>
          <w:tcPr>
            <w:tcW w:w="894" w:type="dxa"/>
            <w:shd w:val="clear" w:color="auto" w:fill="ACB9CA" w:themeFill="text2" w:themeFillTint="66"/>
          </w:tcPr>
          <w:p w14:paraId="49092611" w14:textId="77777777" w:rsidR="008C7263" w:rsidRPr="00D1177A" w:rsidRDefault="008C7263" w:rsidP="00150FB2">
            <w:pPr>
              <w:rPr>
                <w:rFonts w:cstheme="minorHAnsi"/>
                <w:b/>
              </w:rPr>
            </w:pPr>
            <w:r w:rsidRPr="00D1177A">
              <w:rPr>
                <w:rFonts w:cstheme="minorHAnsi"/>
                <w:b/>
              </w:rPr>
              <w:t>£</w:t>
            </w:r>
            <w:r>
              <w:rPr>
                <w:rFonts w:cstheme="minorHAnsi"/>
                <w:b/>
              </w:rPr>
              <w:t>127.92</w:t>
            </w:r>
          </w:p>
        </w:tc>
        <w:tc>
          <w:tcPr>
            <w:tcW w:w="894" w:type="dxa"/>
            <w:shd w:val="clear" w:color="auto" w:fill="ACB9CA" w:themeFill="text2" w:themeFillTint="66"/>
          </w:tcPr>
          <w:p w14:paraId="7F0637AF" w14:textId="77777777" w:rsidR="008C7263" w:rsidRPr="00D1177A" w:rsidRDefault="008C7263" w:rsidP="00150FB2">
            <w:pPr>
              <w:rPr>
                <w:rFonts w:cstheme="minorHAnsi"/>
                <w:b/>
              </w:rPr>
            </w:pPr>
            <w:r w:rsidRPr="00D1177A">
              <w:rPr>
                <w:rFonts w:cstheme="minorHAnsi"/>
                <w:b/>
              </w:rPr>
              <w:t>£1</w:t>
            </w:r>
            <w:r>
              <w:rPr>
                <w:rFonts w:cstheme="minorHAnsi"/>
                <w:b/>
              </w:rPr>
              <w:t>59.64</w:t>
            </w:r>
          </w:p>
        </w:tc>
        <w:tc>
          <w:tcPr>
            <w:tcW w:w="894" w:type="dxa"/>
            <w:shd w:val="clear" w:color="auto" w:fill="ACB9CA" w:themeFill="text2" w:themeFillTint="66"/>
          </w:tcPr>
          <w:p w14:paraId="2C9328CA" w14:textId="77777777" w:rsidR="008C7263" w:rsidRPr="00D1177A" w:rsidRDefault="008C7263" w:rsidP="00150FB2">
            <w:pPr>
              <w:rPr>
                <w:rFonts w:cstheme="minorHAnsi"/>
                <w:b/>
              </w:rPr>
            </w:pPr>
            <w:r w:rsidRPr="00D1177A">
              <w:rPr>
                <w:rFonts w:cstheme="minorHAnsi"/>
                <w:b/>
              </w:rPr>
              <w:t>£1</w:t>
            </w:r>
            <w:r>
              <w:rPr>
                <w:rFonts w:cstheme="minorHAnsi"/>
                <w:b/>
              </w:rPr>
              <w:t>91.88</w:t>
            </w:r>
          </w:p>
        </w:tc>
        <w:tc>
          <w:tcPr>
            <w:tcW w:w="944" w:type="dxa"/>
            <w:shd w:val="clear" w:color="auto" w:fill="ACB9CA" w:themeFill="text2" w:themeFillTint="66"/>
          </w:tcPr>
          <w:p w14:paraId="24909CBC" w14:textId="77777777" w:rsidR="008C7263" w:rsidRPr="00D1177A" w:rsidRDefault="008C7263" w:rsidP="00150FB2">
            <w:pPr>
              <w:rPr>
                <w:rFonts w:cstheme="minorHAnsi"/>
                <w:b/>
              </w:rPr>
            </w:pPr>
            <w:r w:rsidRPr="00D1177A">
              <w:rPr>
                <w:rFonts w:cstheme="minorHAnsi"/>
                <w:b/>
              </w:rPr>
              <w:t>£</w:t>
            </w:r>
            <w:r>
              <w:rPr>
                <w:rFonts w:cstheme="minorHAnsi"/>
                <w:b/>
              </w:rPr>
              <w:t>223.60</w:t>
            </w:r>
          </w:p>
        </w:tc>
      </w:tr>
      <w:tr w:rsidR="008C7263" w:rsidRPr="00D1177A" w14:paraId="6C047CEF" w14:textId="77777777" w:rsidTr="00150FB2">
        <w:tc>
          <w:tcPr>
            <w:tcW w:w="921" w:type="dxa"/>
          </w:tcPr>
          <w:p w14:paraId="68E204EF" w14:textId="77777777" w:rsidR="008C7263" w:rsidRPr="00D1177A" w:rsidRDefault="008C7263" w:rsidP="00150FB2">
            <w:pPr>
              <w:rPr>
                <w:rFonts w:cstheme="minorHAnsi"/>
                <w:b/>
              </w:rPr>
            </w:pPr>
            <w:r w:rsidRPr="00D1177A">
              <w:rPr>
                <w:rFonts w:cstheme="minorHAnsi"/>
                <w:b/>
              </w:rPr>
              <w:t>Month</w:t>
            </w:r>
          </w:p>
        </w:tc>
        <w:tc>
          <w:tcPr>
            <w:tcW w:w="895" w:type="dxa"/>
            <w:shd w:val="clear" w:color="auto" w:fill="ACB9CA" w:themeFill="text2" w:themeFillTint="66"/>
          </w:tcPr>
          <w:p w14:paraId="41E42B54" w14:textId="77777777" w:rsidR="008C7263" w:rsidRPr="00D1177A" w:rsidRDefault="008C7263" w:rsidP="00150FB2">
            <w:pPr>
              <w:rPr>
                <w:rFonts w:cstheme="minorHAnsi"/>
                <w:b/>
              </w:rPr>
            </w:pPr>
            <w:r w:rsidRPr="00D1177A">
              <w:rPr>
                <w:rFonts w:cstheme="minorHAnsi"/>
                <w:b/>
              </w:rPr>
              <w:t>£</w:t>
            </w:r>
            <w:r>
              <w:rPr>
                <w:rFonts w:cstheme="minorHAnsi"/>
                <w:b/>
              </w:rPr>
              <w:t>5.34</w:t>
            </w:r>
          </w:p>
        </w:tc>
        <w:tc>
          <w:tcPr>
            <w:tcW w:w="893" w:type="dxa"/>
            <w:shd w:val="clear" w:color="auto" w:fill="ACB9CA" w:themeFill="text2" w:themeFillTint="66"/>
          </w:tcPr>
          <w:p w14:paraId="695EFB92" w14:textId="77777777" w:rsidR="008C7263" w:rsidRPr="00D1177A" w:rsidRDefault="008C7263" w:rsidP="00150FB2">
            <w:pPr>
              <w:rPr>
                <w:rFonts w:cstheme="minorHAnsi"/>
                <w:b/>
              </w:rPr>
            </w:pPr>
            <w:r w:rsidRPr="00D1177A">
              <w:rPr>
                <w:rFonts w:cstheme="minorHAnsi"/>
                <w:b/>
              </w:rPr>
              <w:t>£</w:t>
            </w:r>
            <w:r>
              <w:rPr>
                <w:rFonts w:cstheme="minorHAnsi"/>
                <w:b/>
              </w:rPr>
              <w:t>6.24</w:t>
            </w:r>
          </w:p>
        </w:tc>
        <w:tc>
          <w:tcPr>
            <w:tcW w:w="893" w:type="dxa"/>
            <w:shd w:val="clear" w:color="auto" w:fill="ACB9CA" w:themeFill="text2" w:themeFillTint="66"/>
          </w:tcPr>
          <w:p w14:paraId="7BE609DE" w14:textId="77777777" w:rsidR="008C7263" w:rsidRPr="00D1177A" w:rsidRDefault="008C7263" w:rsidP="00150FB2">
            <w:pPr>
              <w:rPr>
                <w:rFonts w:cstheme="minorHAnsi"/>
                <w:b/>
              </w:rPr>
            </w:pPr>
            <w:r w:rsidRPr="00D1177A">
              <w:rPr>
                <w:rFonts w:cstheme="minorHAnsi"/>
                <w:b/>
              </w:rPr>
              <w:t>£</w:t>
            </w:r>
            <w:r>
              <w:rPr>
                <w:rFonts w:cstheme="minorHAnsi"/>
                <w:b/>
              </w:rPr>
              <w:t>7.11</w:t>
            </w:r>
          </w:p>
        </w:tc>
        <w:tc>
          <w:tcPr>
            <w:tcW w:w="894" w:type="dxa"/>
            <w:shd w:val="clear" w:color="auto" w:fill="92D050"/>
          </w:tcPr>
          <w:p w14:paraId="43159730" w14:textId="77777777" w:rsidR="008C7263" w:rsidRPr="00D1177A" w:rsidRDefault="008C7263" w:rsidP="00150FB2">
            <w:pPr>
              <w:rPr>
                <w:rFonts w:cstheme="minorHAnsi"/>
                <w:b/>
              </w:rPr>
            </w:pPr>
            <w:r w:rsidRPr="00D1177A">
              <w:rPr>
                <w:rFonts w:cstheme="minorHAnsi"/>
                <w:b/>
              </w:rPr>
              <w:t>£</w:t>
            </w:r>
            <w:r>
              <w:rPr>
                <w:rFonts w:cstheme="minorHAnsi"/>
                <w:b/>
              </w:rPr>
              <w:t>7.85</w:t>
            </w:r>
          </w:p>
        </w:tc>
        <w:tc>
          <w:tcPr>
            <w:tcW w:w="894" w:type="dxa"/>
            <w:shd w:val="clear" w:color="auto" w:fill="ACB9CA" w:themeFill="text2" w:themeFillTint="66"/>
          </w:tcPr>
          <w:p w14:paraId="2E55EAEC" w14:textId="77777777" w:rsidR="008C7263" w:rsidRPr="00D1177A" w:rsidRDefault="008C7263" w:rsidP="00150FB2">
            <w:pPr>
              <w:rPr>
                <w:rFonts w:cstheme="minorHAnsi"/>
                <w:b/>
              </w:rPr>
            </w:pPr>
            <w:r w:rsidRPr="00D1177A">
              <w:rPr>
                <w:rFonts w:cstheme="minorHAnsi"/>
                <w:b/>
              </w:rPr>
              <w:t>£</w:t>
            </w:r>
            <w:r>
              <w:rPr>
                <w:rFonts w:cstheme="minorHAnsi"/>
                <w:b/>
              </w:rPr>
              <w:t>9.75</w:t>
            </w:r>
          </w:p>
        </w:tc>
        <w:tc>
          <w:tcPr>
            <w:tcW w:w="894" w:type="dxa"/>
            <w:shd w:val="clear" w:color="auto" w:fill="ACB9CA" w:themeFill="text2" w:themeFillTint="66"/>
          </w:tcPr>
          <w:p w14:paraId="31223B73" w14:textId="77777777" w:rsidR="008C7263" w:rsidRPr="00D1177A" w:rsidRDefault="008C7263" w:rsidP="00150FB2">
            <w:pPr>
              <w:rPr>
                <w:rFonts w:cstheme="minorHAnsi"/>
                <w:b/>
              </w:rPr>
            </w:pPr>
            <w:r w:rsidRPr="00D1177A">
              <w:rPr>
                <w:rFonts w:cstheme="minorHAnsi"/>
                <w:b/>
              </w:rPr>
              <w:t>£</w:t>
            </w:r>
            <w:r>
              <w:rPr>
                <w:rFonts w:cstheme="minorHAnsi"/>
                <w:b/>
              </w:rPr>
              <w:t>10.66</w:t>
            </w:r>
          </w:p>
        </w:tc>
        <w:tc>
          <w:tcPr>
            <w:tcW w:w="894" w:type="dxa"/>
            <w:shd w:val="clear" w:color="auto" w:fill="ACB9CA" w:themeFill="text2" w:themeFillTint="66"/>
          </w:tcPr>
          <w:p w14:paraId="094F6AD8" w14:textId="77777777" w:rsidR="008C7263" w:rsidRPr="00D1177A" w:rsidRDefault="008C7263" w:rsidP="00150FB2">
            <w:pPr>
              <w:rPr>
                <w:rFonts w:cstheme="minorHAnsi"/>
                <w:b/>
              </w:rPr>
            </w:pPr>
            <w:r w:rsidRPr="00D1177A">
              <w:rPr>
                <w:rFonts w:cstheme="minorHAnsi"/>
                <w:b/>
              </w:rPr>
              <w:t>£</w:t>
            </w:r>
            <w:r>
              <w:rPr>
                <w:rFonts w:cstheme="minorHAnsi"/>
                <w:b/>
              </w:rPr>
              <w:t>13.30</w:t>
            </w:r>
          </w:p>
        </w:tc>
        <w:tc>
          <w:tcPr>
            <w:tcW w:w="894" w:type="dxa"/>
            <w:shd w:val="clear" w:color="auto" w:fill="ACB9CA" w:themeFill="text2" w:themeFillTint="66"/>
          </w:tcPr>
          <w:p w14:paraId="46C29F8F" w14:textId="77777777" w:rsidR="008C7263" w:rsidRPr="00D1177A" w:rsidRDefault="008C7263" w:rsidP="00150FB2">
            <w:pPr>
              <w:rPr>
                <w:rFonts w:cstheme="minorHAnsi"/>
                <w:b/>
              </w:rPr>
            </w:pPr>
            <w:r w:rsidRPr="00D1177A">
              <w:rPr>
                <w:rFonts w:cstheme="minorHAnsi"/>
                <w:b/>
              </w:rPr>
              <w:t>£1</w:t>
            </w:r>
            <w:r>
              <w:rPr>
                <w:rFonts w:cstheme="minorHAnsi"/>
                <w:b/>
              </w:rPr>
              <w:t>5.99</w:t>
            </w:r>
          </w:p>
        </w:tc>
        <w:tc>
          <w:tcPr>
            <w:tcW w:w="944" w:type="dxa"/>
            <w:shd w:val="clear" w:color="auto" w:fill="ACB9CA" w:themeFill="text2" w:themeFillTint="66"/>
          </w:tcPr>
          <w:p w14:paraId="3370088B" w14:textId="77777777" w:rsidR="008C7263" w:rsidRPr="00D1177A" w:rsidRDefault="008C7263" w:rsidP="00150FB2">
            <w:pPr>
              <w:rPr>
                <w:rFonts w:cstheme="minorHAnsi"/>
                <w:b/>
              </w:rPr>
            </w:pPr>
            <w:r w:rsidRPr="00D1177A">
              <w:rPr>
                <w:rFonts w:cstheme="minorHAnsi"/>
                <w:b/>
              </w:rPr>
              <w:t>£1</w:t>
            </w:r>
            <w:r>
              <w:rPr>
                <w:rFonts w:cstheme="minorHAnsi"/>
                <w:b/>
              </w:rPr>
              <w:t>8.63</w:t>
            </w:r>
          </w:p>
        </w:tc>
      </w:tr>
      <w:tr w:rsidR="008C7263" w:rsidRPr="00D1177A" w14:paraId="23F44D19" w14:textId="77777777" w:rsidTr="00150FB2">
        <w:tc>
          <w:tcPr>
            <w:tcW w:w="921" w:type="dxa"/>
          </w:tcPr>
          <w:p w14:paraId="0339BEC2" w14:textId="77777777" w:rsidR="008C7263" w:rsidRPr="00D1177A" w:rsidRDefault="008C7263" w:rsidP="00150FB2">
            <w:pPr>
              <w:rPr>
                <w:rFonts w:cstheme="minorHAnsi"/>
                <w:b/>
              </w:rPr>
            </w:pPr>
            <w:r w:rsidRPr="00D1177A">
              <w:rPr>
                <w:rFonts w:cstheme="minorHAnsi"/>
                <w:b/>
              </w:rPr>
              <w:t>Week</w:t>
            </w:r>
          </w:p>
        </w:tc>
        <w:tc>
          <w:tcPr>
            <w:tcW w:w="895" w:type="dxa"/>
            <w:shd w:val="clear" w:color="auto" w:fill="ACB9CA" w:themeFill="text2" w:themeFillTint="66"/>
          </w:tcPr>
          <w:p w14:paraId="5957DB89" w14:textId="77777777" w:rsidR="008C7263" w:rsidRPr="00D1177A" w:rsidRDefault="008C7263" w:rsidP="00150FB2">
            <w:pPr>
              <w:rPr>
                <w:rFonts w:cstheme="minorHAnsi"/>
                <w:b/>
              </w:rPr>
            </w:pPr>
            <w:r w:rsidRPr="00D1177A">
              <w:rPr>
                <w:rFonts w:cstheme="minorHAnsi"/>
                <w:b/>
              </w:rPr>
              <w:t>£</w:t>
            </w:r>
            <w:r>
              <w:rPr>
                <w:rFonts w:cstheme="minorHAnsi"/>
                <w:b/>
              </w:rPr>
              <w:t>1.23</w:t>
            </w:r>
          </w:p>
        </w:tc>
        <w:tc>
          <w:tcPr>
            <w:tcW w:w="893" w:type="dxa"/>
            <w:shd w:val="clear" w:color="auto" w:fill="ACB9CA" w:themeFill="text2" w:themeFillTint="66"/>
          </w:tcPr>
          <w:p w14:paraId="1A8E066B" w14:textId="77777777" w:rsidR="008C7263" w:rsidRPr="00D1177A" w:rsidRDefault="008C7263" w:rsidP="00150FB2">
            <w:pPr>
              <w:rPr>
                <w:rFonts w:cstheme="minorHAnsi"/>
                <w:b/>
              </w:rPr>
            </w:pPr>
            <w:r w:rsidRPr="00D1177A">
              <w:rPr>
                <w:rFonts w:cstheme="minorHAnsi"/>
                <w:b/>
              </w:rPr>
              <w:t>£1.</w:t>
            </w:r>
            <w:r>
              <w:rPr>
                <w:rFonts w:cstheme="minorHAnsi"/>
                <w:b/>
              </w:rPr>
              <w:t>44</w:t>
            </w:r>
          </w:p>
        </w:tc>
        <w:tc>
          <w:tcPr>
            <w:tcW w:w="893" w:type="dxa"/>
            <w:shd w:val="clear" w:color="auto" w:fill="ACB9CA" w:themeFill="text2" w:themeFillTint="66"/>
          </w:tcPr>
          <w:p w14:paraId="5598F3B6" w14:textId="77777777" w:rsidR="008C7263" w:rsidRPr="00D1177A" w:rsidRDefault="008C7263" w:rsidP="00150FB2">
            <w:pPr>
              <w:rPr>
                <w:rFonts w:cstheme="minorHAnsi"/>
                <w:b/>
              </w:rPr>
            </w:pPr>
            <w:r w:rsidRPr="00D1177A">
              <w:rPr>
                <w:rFonts w:cstheme="minorHAnsi"/>
                <w:b/>
              </w:rPr>
              <w:t>£1.</w:t>
            </w:r>
            <w:r>
              <w:rPr>
                <w:rFonts w:cstheme="minorHAnsi"/>
                <w:b/>
              </w:rPr>
              <w:t>64</w:t>
            </w:r>
          </w:p>
        </w:tc>
        <w:tc>
          <w:tcPr>
            <w:tcW w:w="894" w:type="dxa"/>
            <w:shd w:val="clear" w:color="auto" w:fill="92D050"/>
          </w:tcPr>
          <w:p w14:paraId="67CA79D6" w14:textId="77777777" w:rsidR="008C7263" w:rsidRPr="00D1177A" w:rsidRDefault="008C7263" w:rsidP="00150FB2">
            <w:pPr>
              <w:rPr>
                <w:rFonts w:cstheme="minorHAnsi"/>
                <w:b/>
              </w:rPr>
            </w:pPr>
            <w:r w:rsidRPr="00D1177A">
              <w:rPr>
                <w:rFonts w:cstheme="minorHAnsi"/>
                <w:b/>
              </w:rPr>
              <w:t>£1.</w:t>
            </w:r>
            <w:r>
              <w:rPr>
                <w:rFonts w:cstheme="minorHAnsi"/>
                <w:b/>
              </w:rPr>
              <w:t>81</w:t>
            </w:r>
          </w:p>
        </w:tc>
        <w:tc>
          <w:tcPr>
            <w:tcW w:w="894" w:type="dxa"/>
            <w:shd w:val="clear" w:color="auto" w:fill="ACB9CA" w:themeFill="text2" w:themeFillTint="66"/>
          </w:tcPr>
          <w:p w14:paraId="5DB0F616" w14:textId="77777777" w:rsidR="008C7263" w:rsidRPr="00D1177A" w:rsidRDefault="008C7263" w:rsidP="00150FB2">
            <w:pPr>
              <w:rPr>
                <w:rFonts w:cstheme="minorHAnsi"/>
                <w:b/>
              </w:rPr>
            </w:pPr>
            <w:r w:rsidRPr="00D1177A">
              <w:rPr>
                <w:rFonts w:cstheme="minorHAnsi"/>
                <w:b/>
              </w:rPr>
              <w:t>£</w:t>
            </w:r>
            <w:r>
              <w:rPr>
                <w:rFonts w:cstheme="minorHAnsi"/>
                <w:b/>
              </w:rPr>
              <w:t>2.25</w:t>
            </w:r>
          </w:p>
        </w:tc>
        <w:tc>
          <w:tcPr>
            <w:tcW w:w="894" w:type="dxa"/>
            <w:shd w:val="clear" w:color="auto" w:fill="ACB9CA" w:themeFill="text2" w:themeFillTint="66"/>
          </w:tcPr>
          <w:p w14:paraId="68DD80AF" w14:textId="77777777" w:rsidR="008C7263" w:rsidRPr="00D1177A" w:rsidRDefault="008C7263" w:rsidP="00150FB2">
            <w:pPr>
              <w:rPr>
                <w:rFonts w:cstheme="minorHAnsi"/>
                <w:b/>
              </w:rPr>
            </w:pPr>
            <w:r w:rsidRPr="00D1177A">
              <w:rPr>
                <w:rFonts w:cstheme="minorHAnsi"/>
                <w:b/>
              </w:rPr>
              <w:t>£</w:t>
            </w:r>
            <w:r>
              <w:rPr>
                <w:rFonts w:cstheme="minorHAnsi"/>
                <w:b/>
              </w:rPr>
              <w:t>2.46</w:t>
            </w:r>
          </w:p>
        </w:tc>
        <w:tc>
          <w:tcPr>
            <w:tcW w:w="894" w:type="dxa"/>
            <w:shd w:val="clear" w:color="auto" w:fill="ACB9CA" w:themeFill="text2" w:themeFillTint="66"/>
          </w:tcPr>
          <w:p w14:paraId="149E997C" w14:textId="77777777" w:rsidR="008C7263" w:rsidRPr="00D1177A" w:rsidRDefault="008C7263" w:rsidP="00150FB2">
            <w:pPr>
              <w:rPr>
                <w:rFonts w:cstheme="minorHAnsi"/>
                <w:b/>
              </w:rPr>
            </w:pPr>
            <w:r w:rsidRPr="00D1177A">
              <w:rPr>
                <w:rFonts w:cstheme="minorHAnsi"/>
                <w:b/>
              </w:rPr>
              <w:t>£</w:t>
            </w:r>
            <w:r>
              <w:rPr>
                <w:rFonts w:cstheme="minorHAnsi"/>
                <w:b/>
              </w:rPr>
              <w:t>3.07</w:t>
            </w:r>
          </w:p>
        </w:tc>
        <w:tc>
          <w:tcPr>
            <w:tcW w:w="894" w:type="dxa"/>
            <w:shd w:val="clear" w:color="auto" w:fill="ACB9CA" w:themeFill="text2" w:themeFillTint="66"/>
          </w:tcPr>
          <w:p w14:paraId="2372F0B5" w14:textId="77777777" w:rsidR="008C7263" w:rsidRPr="00D1177A" w:rsidRDefault="008C7263" w:rsidP="00150FB2">
            <w:pPr>
              <w:rPr>
                <w:rFonts w:cstheme="minorHAnsi"/>
                <w:b/>
              </w:rPr>
            </w:pPr>
            <w:r w:rsidRPr="00D1177A">
              <w:rPr>
                <w:rFonts w:cstheme="minorHAnsi"/>
                <w:b/>
              </w:rPr>
              <w:t>£</w:t>
            </w:r>
            <w:r>
              <w:rPr>
                <w:rFonts w:cstheme="minorHAnsi"/>
                <w:b/>
              </w:rPr>
              <w:t>3.69</w:t>
            </w:r>
          </w:p>
        </w:tc>
        <w:tc>
          <w:tcPr>
            <w:tcW w:w="944" w:type="dxa"/>
            <w:shd w:val="clear" w:color="auto" w:fill="ACB9CA" w:themeFill="text2" w:themeFillTint="66"/>
          </w:tcPr>
          <w:p w14:paraId="0B890E3F" w14:textId="77777777" w:rsidR="008C7263" w:rsidRPr="00D1177A" w:rsidRDefault="008C7263" w:rsidP="00150FB2">
            <w:pPr>
              <w:rPr>
                <w:rFonts w:cstheme="minorHAnsi"/>
                <w:b/>
              </w:rPr>
            </w:pPr>
            <w:r w:rsidRPr="00D1177A">
              <w:rPr>
                <w:rFonts w:cstheme="minorHAnsi"/>
                <w:b/>
              </w:rPr>
              <w:t>£</w:t>
            </w:r>
            <w:r>
              <w:rPr>
                <w:rFonts w:cstheme="minorHAnsi"/>
                <w:b/>
              </w:rPr>
              <w:t>4.30</w:t>
            </w:r>
          </w:p>
        </w:tc>
      </w:tr>
    </w:tbl>
    <w:p w14:paraId="6E3E731F" w14:textId="77777777" w:rsidR="008C7263" w:rsidRDefault="008C7263" w:rsidP="008C7263">
      <w:pPr>
        <w:rPr>
          <w:rFonts w:cstheme="minorHAnsi"/>
        </w:rPr>
      </w:pPr>
    </w:p>
    <w:p w14:paraId="6CD3718F" w14:textId="77777777" w:rsidR="008C7263" w:rsidRDefault="008C7263" w:rsidP="008C7263">
      <w:pPr>
        <w:rPr>
          <w:rFonts w:cstheme="minorHAnsi"/>
        </w:rPr>
      </w:pPr>
      <w:r w:rsidRPr="00D1177A">
        <w:rPr>
          <w:rFonts w:cstheme="minorHAnsi"/>
        </w:rPr>
        <w:t xml:space="preserve">As can be seen from the tables above the majority of dwellings in Blaenavon fall within the Band </w:t>
      </w:r>
      <w:r w:rsidRPr="00D1177A">
        <w:rPr>
          <w:rFonts w:cstheme="minorHAnsi"/>
          <w:b/>
        </w:rPr>
        <w:t>‘A’</w:t>
      </w:r>
      <w:r w:rsidRPr="00D1177A">
        <w:rPr>
          <w:rFonts w:cstheme="minorHAnsi"/>
        </w:rPr>
        <w:t xml:space="preserve"> and ‘</w:t>
      </w:r>
      <w:r w:rsidRPr="00D1177A">
        <w:rPr>
          <w:rFonts w:cstheme="minorHAnsi"/>
          <w:b/>
        </w:rPr>
        <w:t xml:space="preserve">B’ </w:t>
      </w:r>
      <w:r w:rsidRPr="00D1177A">
        <w:rPr>
          <w:rFonts w:cstheme="minorHAnsi"/>
        </w:rPr>
        <w:t xml:space="preserve">categories totalling </w:t>
      </w:r>
      <w:r w:rsidRPr="00D1177A">
        <w:rPr>
          <w:rFonts w:cstheme="minorHAnsi"/>
          <w:b/>
        </w:rPr>
        <w:t>2,39</w:t>
      </w:r>
      <w:r>
        <w:rPr>
          <w:rFonts w:cstheme="minorHAnsi"/>
          <w:b/>
        </w:rPr>
        <w:t>7</w:t>
      </w:r>
      <w:r>
        <w:rPr>
          <w:rFonts w:cstheme="minorHAnsi"/>
        </w:rPr>
        <w:t>.</w:t>
      </w:r>
      <w:r w:rsidRPr="00D1177A">
        <w:rPr>
          <w:rFonts w:cstheme="minorHAnsi"/>
        </w:rPr>
        <w:t xml:space="preserve"> </w:t>
      </w:r>
      <w:r w:rsidRPr="00D1177A">
        <w:rPr>
          <w:rFonts w:cstheme="minorHAnsi"/>
          <w:b/>
        </w:rPr>
        <w:t>1,</w:t>
      </w:r>
      <w:r>
        <w:rPr>
          <w:rFonts w:cstheme="minorHAnsi"/>
          <w:b/>
        </w:rPr>
        <w:t>105</w:t>
      </w:r>
      <w:r w:rsidRPr="00D1177A">
        <w:rPr>
          <w:rFonts w:cstheme="minorHAnsi"/>
        </w:rPr>
        <w:t xml:space="preserve"> of these properties</w:t>
      </w:r>
      <w:r>
        <w:rPr>
          <w:rFonts w:cstheme="minorHAnsi"/>
        </w:rPr>
        <w:t xml:space="preserve"> or </w:t>
      </w:r>
      <w:r w:rsidRPr="002249DD">
        <w:rPr>
          <w:rFonts w:cstheme="minorHAnsi"/>
          <w:b/>
          <w:bCs/>
        </w:rPr>
        <w:t>46%</w:t>
      </w:r>
      <w:r w:rsidRPr="00D1177A">
        <w:rPr>
          <w:rFonts w:cstheme="minorHAnsi"/>
        </w:rPr>
        <w:t xml:space="preserve"> receive a </w:t>
      </w:r>
      <w:r w:rsidRPr="00D1177A">
        <w:rPr>
          <w:rFonts w:cstheme="minorHAnsi"/>
          <w:b/>
        </w:rPr>
        <w:t>25%</w:t>
      </w:r>
      <w:r w:rsidRPr="00D1177A">
        <w:rPr>
          <w:rFonts w:cstheme="minorHAnsi"/>
        </w:rPr>
        <w:t xml:space="preserve"> Council Tax discount.</w:t>
      </w:r>
    </w:p>
    <w:p w14:paraId="06B85A30" w14:textId="77777777" w:rsidR="008C7263" w:rsidRDefault="008C7263" w:rsidP="008C7263">
      <w:pPr>
        <w:rPr>
          <w:rFonts w:cstheme="minorHAnsi"/>
          <w:b/>
          <w:bCs/>
        </w:rPr>
      </w:pPr>
      <w:r>
        <w:rPr>
          <w:rFonts w:cstheme="minorHAnsi"/>
        </w:rPr>
        <w:t>As a comparison, the precept raise from</w:t>
      </w:r>
      <w:r w:rsidRPr="00905073">
        <w:rPr>
          <w:rFonts w:cstheme="minorHAnsi"/>
          <w:b/>
          <w:bCs/>
        </w:rPr>
        <w:t xml:space="preserve"> £130k</w:t>
      </w:r>
      <w:r>
        <w:rPr>
          <w:rFonts w:cstheme="minorHAnsi"/>
        </w:rPr>
        <w:t xml:space="preserve"> to £</w:t>
      </w:r>
      <w:r w:rsidRPr="00905073">
        <w:rPr>
          <w:rFonts w:cstheme="minorHAnsi"/>
          <w:b/>
          <w:bCs/>
        </w:rPr>
        <w:t>185k</w:t>
      </w:r>
      <w:r>
        <w:rPr>
          <w:rFonts w:cstheme="minorHAnsi"/>
        </w:rPr>
        <w:t xml:space="preserve"> will increase the annual Council Tax payment on a </w:t>
      </w:r>
      <w:r w:rsidRPr="00C415DE">
        <w:rPr>
          <w:rFonts w:cstheme="minorHAnsi"/>
          <w:b/>
          <w:bCs/>
        </w:rPr>
        <w:t>Band ‘D’</w:t>
      </w:r>
      <w:r>
        <w:rPr>
          <w:rFonts w:cstheme="minorHAnsi"/>
        </w:rPr>
        <w:t xml:space="preserve">  property from </w:t>
      </w:r>
      <w:r w:rsidRPr="00905073">
        <w:rPr>
          <w:rFonts w:cstheme="minorHAnsi"/>
          <w:b/>
          <w:bCs/>
        </w:rPr>
        <w:t>£66.67</w:t>
      </w:r>
      <w:r>
        <w:rPr>
          <w:rFonts w:cstheme="minorHAnsi"/>
        </w:rPr>
        <w:t xml:space="preserve"> to </w:t>
      </w:r>
      <w:r w:rsidRPr="00905073">
        <w:rPr>
          <w:rFonts w:cstheme="minorHAnsi"/>
          <w:b/>
          <w:bCs/>
        </w:rPr>
        <w:t>£94.24</w:t>
      </w:r>
      <w:r>
        <w:rPr>
          <w:rFonts w:cstheme="minorHAnsi"/>
        </w:rPr>
        <w:t xml:space="preserve"> or </w:t>
      </w:r>
      <w:r w:rsidRPr="00905073">
        <w:rPr>
          <w:rFonts w:cstheme="minorHAnsi"/>
          <w:b/>
          <w:bCs/>
        </w:rPr>
        <w:t>£27.57</w:t>
      </w:r>
      <w:r>
        <w:rPr>
          <w:rFonts w:cstheme="minorHAnsi"/>
          <w:b/>
          <w:bCs/>
        </w:rPr>
        <w:t xml:space="preserve">. </w:t>
      </w:r>
    </w:p>
    <w:p w14:paraId="00837717" w14:textId="77777777" w:rsidR="00360BE7" w:rsidRDefault="008C7263" w:rsidP="008C7263">
      <w:pPr>
        <w:rPr>
          <w:rFonts w:cstheme="minorHAnsi"/>
          <w:b/>
          <w:bCs/>
        </w:rPr>
      </w:pPr>
      <w:r>
        <w:rPr>
          <w:rFonts w:cstheme="minorHAnsi"/>
        </w:rPr>
        <w:t xml:space="preserve">On a </w:t>
      </w:r>
      <w:r w:rsidRPr="00C415DE">
        <w:rPr>
          <w:rFonts w:cstheme="minorHAnsi"/>
          <w:b/>
          <w:bCs/>
        </w:rPr>
        <w:t>Band ‘A’</w:t>
      </w:r>
      <w:r>
        <w:rPr>
          <w:rFonts w:cstheme="minorHAnsi"/>
        </w:rPr>
        <w:t xml:space="preserve"> property the annual increase will be from </w:t>
      </w:r>
      <w:r w:rsidRPr="006A0D37">
        <w:rPr>
          <w:rFonts w:cstheme="minorHAnsi"/>
          <w:b/>
          <w:bCs/>
        </w:rPr>
        <w:t>£44.72</w:t>
      </w:r>
      <w:r>
        <w:rPr>
          <w:rFonts w:cstheme="minorHAnsi"/>
        </w:rPr>
        <w:t xml:space="preserve"> to </w:t>
      </w:r>
      <w:r w:rsidRPr="006A0D37">
        <w:rPr>
          <w:rFonts w:cstheme="minorHAnsi"/>
          <w:b/>
          <w:bCs/>
        </w:rPr>
        <w:t>£64.13</w:t>
      </w:r>
      <w:r>
        <w:rPr>
          <w:rFonts w:cstheme="minorHAnsi"/>
        </w:rPr>
        <w:t xml:space="preserve"> or </w:t>
      </w:r>
      <w:r w:rsidRPr="006A0D37">
        <w:rPr>
          <w:rFonts w:cstheme="minorHAnsi"/>
          <w:b/>
          <w:bCs/>
        </w:rPr>
        <w:t>£19.41</w:t>
      </w:r>
      <w:r>
        <w:rPr>
          <w:rFonts w:cstheme="minorHAnsi"/>
          <w:b/>
          <w:bCs/>
        </w:rPr>
        <w:t xml:space="preserve">. </w:t>
      </w:r>
    </w:p>
    <w:p w14:paraId="072F865E" w14:textId="77777777" w:rsidR="00360BE7" w:rsidRDefault="008C7263" w:rsidP="008C7263">
      <w:pPr>
        <w:rPr>
          <w:rFonts w:cstheme="minorHAnsi"/>
        </w:rPr>
      </w:pPr>
      <w:r>
        <w:rPr>
          <w:rFonts w:cstheme="minorHAnsi"/>
        </w:rPr>
        <w:t xml:space="preserve">For ease of reference, </w:t>
      </w:r>
      <w:r w:rsidR="00360BE7">
        <w:rPr>
          <w:rFonts w:cstheme="minorHAnsi"/>
        </w:rPr>
        <w:t>this has been</w:t>
      </w:r>
      <w:r>
        <w:rPr>
          <w:rFonts w:cstheme="minorHAnsi"/>
        </w:rPr>
        <w:t xml:space="preserve"> broken down</w:t>
      </w:r>
      <w:r w:rsidR="00360BE7">
        <w:rPr>
          <w:rFonts w:cstheme="minorHAnsi"/>
        </w:rPr>
        <w:t xml:space="preserve"> to show</w:t>
      </w:r>
      <w:r>
        <w:rPr>
          <w:rFonts w:cstheme="minorHAnsi"/>
        </w:rPr>
        <w:t xml:space="preserve"> the increases across all bandings to include the weekly and monthly costs. </w:t>
      </w:r>
    </w:p>
    <w:p w14:paraId="696891D1" w14:textId="1BD162F9" w:rsidR="008C7263" w:rsidRDefault="008C7263" w:rsidP="008C7263">
      <w:pPr>
        <w:rPr>
          <w:rFonts w:cstheme="minorHAnsi"/>
        </w:rPr>
      </w:pPr>
      <w:r w:rsidRPr="006204FC">
        <w:rPr>
          <w:rFonts w:cstheme="minorHAnsi"/>
          <w:b/>
          <w:bCs/>
        </w:rPr>
        <w:lastRenderedPageBreak/>
        <w:t>51%</w:t>
      </w:r>
      <w:r>
        <w:rPr>
          <w:rFonts w:cstheme="minorHAnsi"/>
        </w:rPr>
        <w:t xml:space="preserve"> of </w:t>
      </w:r>
      <w:r w:rsidRPr="00360BE7">
        <w:rPr>
          <w:rFonts w:cstheme="minorHAnsi"/>
          <w:b/>
          <w:bCs/>
        </w:rPr>
        <w:t>Band ‘A’</w:t>
      </w:r>
      <w:r>
        <w:rPr>
          <w:rFonts w:cstheme="minorHAnsi"/>
        </w:rPr>
        <w:t xml:space="preserve"> properties receive a </w:t>
      </w:r>
      <w:r w:rsidRPr="006204FC">
        <w:rPr>
          <w:rFonts w:cstheme="minorHAnsi"/>
          <w:b/>
          <w:bCs/>
        </w:rPr>
        <w:t>25%</w:t>
      </w:r>
      <w:r>
        <w:rPr>
          <w:rFonts w:cstheme="minorHAnsi"/>
        </w:rPr>
        <w:t xml:space="preserve"> discount therefore reducing the increase to </w:t>
      </w:r>
      <w:r w:rsidRPr="006204FC">
        <w:rPr>
          <w:rFonts w:cstheme="minorHAnsi"/>
          <w:b/>
          <w:bCs/>
        </w:rPr>
        <w:t>£14.55</w:t>
      </w:r>
      <w:r w:rsidR="00506CCB">
        <w:rPr>
          <w:rFonts w:cstheme="minorHAnsi"/>
          <w:b/>
          <w:bCs/>
        </w:rPr>
        <w:t xml:space="preserve"> </w:t>
      </w:r>
      <w:r w:rsidR="00506CCB" w:rsidRPr="00506CCB">
        <w:rPr>
          <w:rFonts w:cstheme="minorHAnsi"/>
        </w:rPr>
        <w:t>per year</w:t>
      </w:r>
      <w:r>
        <w:rPr>
          <w:rFonts w:cstheme="minorHAnsi"/>
        </w:rPr>
        <w:t xml:space="preserve"> or </w:t>
      </w:r>
      <w:r w:rsidRPr="006204FC">
        <w:rPr>
          <w:rFonts w:cstheme="minorHAnsi"/>
          <w:b/>
          <w:bCs/>
        </w:rPr>
        <w:t>£1.21</w:t>
      </w:r>
      <w:r>
        <w:rPr>
          <w:rFonts w:cstheme="minorHAnsi"/>
        </w:rPr>
        <w:t xml:space="preserve"> / month.</w:t>
      </w:r>
    </w:p>
    <w:p w14:paraId="239A93CA" w14:textId="77777777" w:rsidR="00360BE7" w:rsidRDefault="008C7263" w:rsidP="008C7263">
      <w:pPr>
        <w:rPr>
          <w:rFonts w:cstheme="minorHAnsi"/>
        </w:rPr>
      </w:pPr>
      <w:r w:rsidRPr="000D40EC">
        <w:rPr>
          <w:rFonts w:cstheme="minorHAnsi"/>
        </w:rPr>
        <w:t xml:space="preserve">On a </w:t>
      </w:r>
      <w:r w:rsidRPr="000D40EC">
        <w:rPr>
          <w:rFonts w:cstheme="minorHAnsi"/>
          <w:b/>
          <w:bCs/>
        </w:rPr>
        <w:t>Band ‘</w:t>
      </w:r>
      <w:r w:rsidRPr="00C415DE">
        <w:rPr>
          <w:rFonts w:cstheme="minorHAnsi"/>
          <w:b/>
          <w:bCs/>
        </w:rPr>
        <w:t>B</w:t>
      </w:r>
      <w:r w:rsidRPr="000D40EC">
        <w:rPr>
          <w:rFonts w:cstheme="minorHAnsi"/>
          <w:b/>
          <w:bCs/>
        </w:rPr>
        <w:t>’</w:t>
      </w:r>
      <w:r w:rsidRPr="000D40EC">
        <w:rPr>
          <w:rFonts w:cstheme="minorHAnsi"/>
        </w:rPr>
        <w:t xml:space="preserve"> property the annual increase will be from </w:t>
      </w:r>
      <w:r w:rsidRPr="000D40EC">
        <w:rPr>
          <w:rFonts w:cstheme="minorHAnsi"/>
          <w:b/>
          <w:bCs/>
        </w:rPr>
        <w:t>£52.17</w:t>
      </w:r>
      <w:r w:rsidRPr="000D40EC">
        <w:rPr>
          <w:rFonts w:cstheme="minorHAnsi"/>
        </w:rPr>
        <w:t xml:space="preserve"> to </w:t>
      </w:r>
      <w:r w:rsidRPr="000D40EC">
        <w:rPr>
          <w:rFonts w:cstheme="minorHAnsi"/>
          <w:b/>
          <w:bCs/>
        </w:rPr>
        <w:t>£74.82</w:t>
      </w:r>
      <w:r w:rsidRPr="000D40EC">
        <w:rPr>
          <w:rFonts w:cstheme="minorHAnsi"/>
        </w:rPr>
        <w:t xml:space="preserve"> or </w:t>
      </w:r>
      <w:r w:rsidRPr="000D40EC">
        <w:rPr>
          <w:rFonts w:cstheme="minorHAnsi"/>
          <w:b/>
          <w:bCs/>
        </w:rPr>
        <w:t>£22.65</w:t>
      </w:r>
      <w:r w:rsidRPr="000D40EC">
        <w:rPr>
          <w:rFonts w:cstheme="minorHAnsi"/>
        </w:rPr>
        <w:t xml:space="preserve">. </w:t>
      </w:r>
    </w:p>
    <w:p w14:paraId="6BAEE979" w14:textId="1F293529" w:rsidR="008C7263" w:rsidRPr="00766701" w:rsidRDefault="008C7263" w:rsidP="008C7263">
      <w:pPr>
        <w:rPr>
          <w:rFonts w:cstheme="minorHAnsi"/>
        </w:rPr>
      </w:pPr>
      <w:r w:rsidRPr="00766701">
        <w:rPr>
          <w:rFonts w:cstheme="minorHAnsi"/>
          <w:b/>
          <w:bCs/>
        </w:rPr>
        <w:t>38%</w:t>
      </w:r>
      <w:r w:rsidRPr="00766701">
        <w:rPr>
          <w:rFonts w:cstheme="minorHAnsi"/>
        </w:rPr>
        <w:t xml:space="preserve"> of</w:t>
      </w:r>
      <w:r>
        <w:rPr>
          <w:rFonts w:cstheme="minorHAnsi"/>
          <w:b/>
          <w:bCs/>
        </w:rPr>
        <w:t xml:space="preserve"> </w:t>
      </w:r>
      <w:r w:rsidRPr="00506CCB">
        <w:rPr>
          <w:rFonts w:cstheme="minorHAnsi"/>
          <w:b/>
          <w:bCs/>
        </w:rPr>
        <w:t>Band ‘B’</w:t>
      </w:r>
      <w:r w:rsidRPr="00766701">
        <w:rPr>
          <w:rFonts w:cstheme="minorHAnsi"/>
        </w:rPr>
        <w:t xml:space="preserve"> properties receive a</w:t>
      </w:r>
      <w:r>
        <w:rPr>
          <w:rFonts w:cstheme="minorHAnsi"/>
          <w:b/>
          <w:bCs/>
        </w:rPr>
        <w:t xml:space="preserve"> 25% </w:t>
      </w:r>
      <w:r w:rsidRPr="00766701">
        <w:rPr>
          <w:rFonts w:cstheme="minorHAnsi"/>
        </w:rPr>
        <w:t>discount therefore reducing the increase to</w:t>
      </w:r>
      <w:r>
        <w:rPr>
          <w:rFonts w:cstheme="minorHAnsi"/>
          <w:b/>
          <w:bCs/>
        </w:rPr>
        <w:t xml:space="preserve"> £16.98 </w:t>
      </w:r>
      <w:r w:rsidRPr="00766701">
        <w:rPr>
          <w:rFonts w:cstheme="minorHAnsi"/>
        </w:rPr>
        <w:t>or</w:t>
      </w:r>
      <w:r>
        <w:rPr>
          <w:rFonts w:cstheme="minorHAnsi"/>
          <w:b/>
          <w:bCs/>
        </w:rPr>
        <w:t xml:space="preserve"> £1.41 / month</w:t>
      </w:r>
    </w:p>
    <w:p w14:paraId="5B652301" w14:textId="3A67C0AB" w:rsidR="002E3085" w:rsidRPr="001944F2" w:rsidRDefault="000C426C">
      <w:r>
        <w:t>In conclusion, each Community council will calculate their council tax charge based on the council tax base figure allocated to them by TCBC and therefore will be different based on</w:t>
      </w:r>
      <w:r w:rsidR="00A40849">
        <w:t xml:space="preserve"> an </w:t>
      </w:r>
      <w:r>
        <w:t xml:space="preserve"> agreed precept.</w:t>
      </w:r>
    </w:p>
    <w:sectPr w:rsidR="002E3085" w:rsidRPr="001944F2" w:rsidSect="00E92DB2">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6ABC" w14:textId="77777777" w:rsidR="00AC0E79" w:rsidRDefault="00AC0E79" w:rsidP="00E92DB2">
      <w:pPr>
        <w:spacing w:after="0" w:line="240" w:lineRule="auto"/>
      </w:pPr>
      <w:r>
        <w:separator/>
      </w:r>
    </w:p>
  </w:endnote>
  <w:endnote w:type="continuationSeparator" w:id="0">
    <w:p w14:paraId="7451B79C" w14:textId="77777777" w:rsidR="00AC0E79" w:rsidRDefault="00AC0E79" w:rsidP="00E92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65448"/>
      <w:docPartObj>
        <w:docPartGallery w:val="Page Numbers (Bottom of Page)"/>
        <w:docPartUnique/>
      </w:docPartObj>
    </w:sdtPr>
    <w:sdtEndPr>
      <w:rPr>
        <w:color w:val="7F7F7F" w:themeColor="background1" w:themeShade="7F"/>
        <w:spacing w:val="60"/>
      </w:rPr>
    </w:sdtEndPr>
    <w:sdtContent>
      <w:p w14:paraId="538AB9FD" w14:textId="0D8E60A0" w:rsidR="008C7263" w:rsidRDefault="008C726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F60ED4D" w14:textId="77777777" w:rsidR="00E92DB2" w:rsidRDefault="00E9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751D" w14:textId="77777777" w:rsidR="00AC0E79" w:rsidRDefault="00AC0E79" w:rsidP="00E92DB2">
      <w:pPr>
        <w:spacing w:after="0" w:line="240" w:lineRule="auto"/>
      </w:pPr>
      <w:r>
        <w:separator/>
      </w:r>
    </w:p>
  </w:footnote>
  <w:footnote w:type="continuationSeparator" w:id="0">
    <w:p w14:paraId="66A4A457" w14:textId="77777777" w:rsidR="00AC0E79" w:rsidRDefault="00AC0E79" w:rsidP="00E92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B43" w14:textId="43FB5871" w:rsidR="00E92DB2" w:rsidRDefault="00E92DB2">
    <w:pPr>
      <w:pStyle w:val="Header"/>
    </w:pPr>
    <w:r>
      <w:rPr>
        <w:noProof/>
      </w:rPr>
      <w:pict w14:anchorId="1C7CC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929719" o:spid="_x0000_s1029" type="#_x0000_t75" style="position:absolute;margin-left:0;margin-top:0;width:448.6pt;height:697.8pt;z-index:-251657216;mso-position-horizontal:center;mso-position-horizontal-relative:margin;mso-position-vertical:center;mso-position-vertical-relative:margin" o:allowincell="f">
          <v:imagedata r:id="rId1" o:title="Cres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A546" w14:textId="79CFB32F" w:rsidR="00E92DB2" w:rsidRDefault="00E92DB2">
    <w:pPr>
      <w:pStyle w:val="Header"/>
    </w:pPr>
    <w:r>
      <w:rPr>
        <w:noProof/>
      </w:rPr>
      <w:pict w14:anchorId="301A1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929720" o:spid="_x0000_s1030" type="#_x0000_t75" style="position:absolute;margin-left:0;margin-top:0;width:448.6pt;height:697.8pt;z-index:-251656192;mso-position-horizontal:center;mso-position-horizontal-relative:margin;mso-position-vertical:center;mso-position-vertical-relative:margin" o:allowincell="f">
          <v:imagedata r:id="rId1" o:title="Crest"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FDBE" w14:textId="3F9CC5EA" w:rsidR="00E92DB2" w:rsidRDefault="00E92DB2">
    <w:pPr>
      <w:pStyle w:val="Header"/>
    </w:pPr>
    <w:r>
      <w:rPr>
        <w:noProof/>
      </w:rPr>
      <w:pict w14:anchorId="7C618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1929718" o:spid="_x0000_s1028" type="#_x0000_t75" style="position:absolute;margin-left:0;margin-top:0;width:448.6pt;height:697.8pt;z-index:-251658240;mso-position-horizontal:center;mso-position-horizontal-relative:margin;mso-position-vertical:center;mso-position-vertical-relative:margin" o:allowincell="f">
          <v:imagedata r:id="rId1" o:title="Cres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7E"/>
    <w:rsid w:val="00014E90"/>
    <w:rsid w:val="00022EDC"/>
    <w:rsid w:val="000306D7"/>
    <w:rsid w:val="000C426C"/>
    <w:rsid w:val="00190427"/>
    <w:rsid w:val="001944F2"/>
    <w:rsid w:val="00273FFA"/>
    <w:rsid w:val="002C702A"/>
    <w:rsid w:val="002E3085"/>
    <w:rsid w:val="00360BE7"/>
    <w:rsid w:val="00375611"/>
    <w:rsid w:val="0040027E"/>
    <w:rsid w:val="00506CCB"/>
    <w:rsid w:val="00546D3A"/>
    <w:rsid w:val="00552D51"/>
    <w:rsid w:val="006823C8"/>
    <w:rsid w:val="006858C5"/>
    <w:rsid w:val="00742FBE"/>
    <w:rsid w:val="00784227"/>
    <w:rsid w:val="008125AF"/>
    <w:rsid w:val="008270D5"/>
    <w:rsid w:val="008C7263"/>
    <w:rsid w:val="0099001D"/>
    <w:rsid w:val="009A70B0"/>
    <w:rsid w:val="00A40849"/>
    <w:rsid w:val="00A62AC2"/>
    <w:rsid w:val="00AC0E79"/>
    <w:rsid w:val="00B10409"/>
    <w:rsid w:val="00B461D8"/>
    <w:rsid w:val="00BB0192"/>
    <w:rsid w:val="00D16CA4"/>
    <w:rsid w:val="00D25AF0"/>
    <w:rsid w:val="00DD1ACF"/>
    <w:rsid w:val="00DE012B"/>
    <w:rsid w:val="00DE75AF"/>
    <w:rsid w:val="00DF5B96"/>
    <w:rsid w:val="00E206DE"/>
    <w:rsid w:val="00E92DB2"/>
    <w:rsid w:val="00ED3B08"/>
    <w:rsid w:val="00F4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CAE06"/>
  <w15:chartTrackingRefBased/>
  <w15:docId w15:val="{6F21D2B3-3C8A-416A-90BE-1E8AC717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AC2"/>
    <w:rPr>
      <w:color w:val="0563C1" w:themeColor="hyperlink"/>
      <w:u w:val="single"/>
    </w:rPr>
  </w:style>
  <w:style w:type="character" w:styleId="UnresolvedMention">
    <w:name w:val="Unresolved Mention"/>
    <w:basedOn w:val="DefaultParagraphFont"/>
    <w:uiPriority w:val="99"/>
    <w:semiHidden/>
    <w:unhideWhenUsed/>
    <w:rsid w:val="00A62AC2"/>
    <w:rPr>
      <w:color w:val="605E5C"/>
      <w:shd w:val="clear" w:color="auto" w:fill="E1DFDD"/>
    </w:rPr>
  </w:style>
  <w:style w:type="paragraph" w:styleId="Header">
    <w:name w:val="header"/>
    <w:basedOn w:val="Normal"/>
    <w:link w:val="HeaderChar"/>
    <w:uiPriority w:val="99"/>
    <w:unhideWhenUsed/>
    <w:rsid w:val="00E92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DB2"/>
  </w:style>
  <w:style w:type="paragraph" w:styleId="Footer">
    <w:name w:val="footer"/>
    <w:basedOn w:val="Normal"/>
    <w:link w:val="FooterChar"/>
    <w:uiPriority w:val="99"/>
    <w:unhideWhenUsed/>
    <w:rsid w:val="00E92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DB2"/>
  </w:style>
  <w:style w:type="table" w:styleId="TableGrid">
    <w:name w:val="Table Grid"/>
    <w:basedOn w:val="TableNormal"/>
    <w:uiPriority w:val="39"/>
    <w:rsid w:val="002E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1892">
      <w:bodyDiv w:val="1"/>
      <w:marLeft w:val="0"/>
      <w:marRight w:val="0"/>
      <w:marTop w:val="0"/>
      <w:marBottom w:val="0"/>
      <w:divBdr>
        <w:top w:val="none" w:sz="0" w:space="0" w:color="auto"/>
        <w:left w:val="none" w:sz="0" w:space="0" w:color="auto"/>
        <w:bottom w:val="none" w:sz="0" w:space="0" w:color="auto"/>
        <w:right w:val="none" w:sz="0" w:space="0" w:color="auto"/>
      </w:divBdr>
    </w:div>
    <w:div w:id="11801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4/19/contents?lang=e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legislation.gov.uk/ukpga/1972/70/contents?lang=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gislation.gov.uk/ukpga/1992/14/contents?lang=en"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legislation.gov.uk/ukpga/2000/22/contents?lang=en" TargetMode="External"/><Relationship Id="rId4" Type="http://schemas.openxmlformats.org/officeDocument/2006/relationships/footnotes" Target="footnotes.xml"/><Relationship Id="rId9" Type="http://schemas.openxmlformats.org/officeDocument/2006/relationships/hyperlink" Target="http://www.legislation.gov.uk/mwa/2011/4/contents?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Clerk@BlaenavonTC</dc:creator>
  <cp:keywords/>
  <dc:description/>
  <cp:lastModifiedBy>Clerk@BlaenavonTC</cp:lastModifiedBy>
  <cp:revision>2</cp:revision>
  <dcterms:created xsi:type="dcterms:W3CDTF">2022-03-29T11:40:00Z</dcterms:created>
  <dcterms:modified xsi:type="dcterms:W3CDTF">2022-03-29T11:40:00Z</dcterms:modified>
</cp:coreProperties>
</file>